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3FE" w:rsidRPr="00507819" w:rsidRDefault="00996648" w:rsidP="005E75C7">
      <w:pPr>
        <w:spacing w:after="0"/>
        <w:jc w:val="center"/>
        <w:rPr>
          <w:rFonts w:cs="Times New Roman"/>
          <w:b/>
          <w:bCs/>
          <w:sz w:val="22"/>
        </w:rPr>
      </w:pPr>
      <w:r w:rsidRPr="00507819">
        <w:rPr>
          <w:rFonts w:cs="Times New Roman"/>
          <w:b/>
          <w:sz w:val="22"/>
        </w:rPr>
        <w:t>Tabelul de sinteză pentru propunerile</w:t>
      </w:r>
      <w:r w:rsidR="00B45A35" w:rsidRPr="00507819">
        <w:rPr>
          <w:rFonts w:cs="Times New Roman"/>
          <w:b/>
          <w:sz w:val="22"/>
        </w:rPr>
        <w:t xml:space="preserve"> </w:t>
      </w:r>
      <w:r w:rsidR="00E30710" w:rsidRPr="00507819">
        <w:rPr>
          <w:rFonts w:cs="Times New Roman"/>
          <w:b/>
          <w:sz w:val="22"/>
        </w:rPr>
        <w:t>recepționate</w:t>
      </w:r>
      <w:r w:rsidR="00B45A35" w:rsidRPr="00507819">
        <w:rPr>
          <w:rFonts w:cs="Times New Roman"/>
          <w:b/>
          <w:sz w:val="22"/>
        </w:rPr>
        <w:t xml:space="preserve"> </w:t>
      </w:r>
      <w:r w:rsidR="00097EBD" w:rsidRPr="00507819">
        <w:rPr>
          <w:rFonts w:cs="Times New Roman"/>
          <w:b/>
          <w:sz w:val="22"/>
        </w:rPr>
        <w:t xml:space="preserve">la proiectul Hotărârii ANRE </w:t>
      </w:r>
      <w:r w:rsidR="005E75C7" w:rsidRPr="00507819">
        <w:rPr>
          <w:rFonts w:cs="Times New Roman"/>
          <w:b/>
          <w:bCs/>
          <w:sz w:val="22"/>
        </w:rPr>
        <w:t>cu privire la modificarea Codului rețelelor de gaze naturale, aprobat prin Hotărârea Consiliului de administrație al ANRE</w:t>
      </w:r>
      <w:r w:rsidR="005E75C7" w:rsidRPr="00507819">
        <w:rPr>
          <w:rFonts w:cs="Times New Roman"/>
          <w:b/>
          <w:bCs/>
          <w:sz w:val="22"/>
          <w:lang w:val="en-US"/>
        </w:rPr>
        <w:t xml:space="preserve"> </w:t>
      </w:r>
      <w:r w:rsidR="005E75C7" w:rsidRPr="00507819">
        <w:rPr>
          <w:rFonts w:cs="Times New Roman"/>
          <w:b/>
          <w:bCs/>
          <w:sz w:val="22"/>
        </w:rPr>
        <w:t xml:space="preserve">nr. </w:t>
      </w:r>
      <w:r w:rsidR="005E75C7" w:rsidRPr="00507819">
        <w:rPr>
          <w:rFonts w:cs="Times New Roman"/>
          <w:b/>
          <w:bCs/>
          <w:sz w:val="22"/>
          <w:lang w:val="en-US"/>
        </w:rPr>
        <w:t>420/2019</w:t>
      </w:r>
    </w:p>
    <w:p w:rsidR="00833250" w:rsidRPr="00507819" w:rsidRDefault="00833250" w:rsidP="009D03FE">
      <w:pPr>
        <w:spacing w:after="0"/>
        <w:jc w:val="center"/>
        <w:rPr>
          <w:rFonts w:cs="Times New Roman"/>
          <w:b/>
          <w:bCs/>
          <w:sz w:val="22"/>
        </w:rPr>
      </w:pPr>
    </w:p>
    <w:tbl>
      <w:tblPr>
        <w:tblStyle w:val="TableGrid"/>
        <w:tblW w:w="14724" w:type="dxa"/>
        <w:tblLook w:val="04A0" w:firstRow="1" w:lastRow="0" w:firstColumn="1" w:lastColumn="0" w:noHBand="0" w:noVBand="1"/>
      </w:tblPr>
      <w:tblGrid>
        <w:gridCol w:w="2263"/>
        <w:gridCol w:w="834"/>
        <w:gridCol w:w="7483"/>
        <w:gridCol w:w="4144"/>
      </w:tblGrid>
      <w:tr w:rsidR="006F0357" w:rsidRPr="00507819" w:rsidTr="00507819">
        <w:tc>
          <w:tcPr>
            <w:tcW w:w="2263" w:type="dxa"/>
          </w:tcPr>
          <w:p w:rsidR="00996648" w:rsidRPr="00507819" w:rsidRDefault="00996648" w:rsidP="00996648">
            <w:pPr>
              <w:rPr>
                <w:rFonts w:cs="Times New Roman"/>
                <w:b/>
                <w:sz w:val="22"/>
              </w:rPr>
            </w:pPr>
            <w:r w:rsidRPr="00507819">
              <w:rPr>
                <w:rFonts w:cs="Times New Roman"/>
                <w:b/>
                <w:sz w:val="22"/>
              </w:rPr>
              <w:t>Participantul la avizare</w:t>
            </w:r>
          </w:p>
        </w:tc>
        <w:tc>
          <w:tcPr>
            <w:tcW w:w="834" w:type="dxa"/>
          </w:tcPr>
          <w:p w:rsidR="00996648" w:rsidRPr="00507819" w:rsidRDefault="00996648" w:rsidP="00996648">
            <w:pPr>
              <w:rPr>
                <w:rFonts w:cs="Times New Roman"/>
                <w:b/>
                <w:sz w:val="22"/>
              </w:rPr>
            </w:pPr>
            <w:r w:rsidRPr="00507819">
              <w:rPr>
                <w:rFonts w:cs="Times New Roman"/>
                <w:b/>
                <w:sz w:val="22"/>
              </w:rPr>
              <w:t>Nr.</w:t>
            </w:r>
          </w:p>
          <w:p w:rsidR="00996648" w:rsidRPr="00507819" w:rsidRDefault="00996648" w:rsidP="00996648">
            <w:pPr>
              <w:rPr>
                <w:rFonts w:cs="Times New Roman"/>
                <w:b/>
                <w:sz w:val="22"/>
              </w:rPr>
            </w:pPr>
            <w:r w:rsidRPr="00507819">
              <w:rPr>
                <w:rFonts w:cs="Times New Roman"/>
                <w:b/>
                <w:sz w:val="22"/>
              </w:rPr>
              <w:t>Pct.</w:t>
            </w:r>
          </w:p>
        </w:tc>
        <w:tc>
          <w:tcPr>
            <w:tcW w:w="7483" w:type="dxa"/>
          </w:tcPr>
          <w:p w:rsidR="00996648" w:rsidRPr="00507819" w:rsidRDefault="00996648" w:rsidP="00996648">
            <w:pPr>
              <w:jc w:val="center"/>
              <w:rPr>
                <w:rFonts w:cs="Times New Roman"/>
                <w:b/>
                <w:sz w:val="22"/>
              </w:rPr>
            </w:pPr>
            <w:r w:rsidRPr="00507819">
              <w:rPr>
                <w:rFonts w:cs="Times New Roman"/>
                <w:b/>
                <w:sz w:val="22"/>
              </w:rPr>
              <w:t>Redacția propusă de către participant</w:t>
            </w:r>
          </w:p>
        </w:tc>
        <w:tc>
          <w:tcPr>
            <w:tcW w:w="4144" w:type="dxa"/>
          </w:tcPr>
          <w:p w:rsidR="00996648" w:rsidRPr="00507819" w:rsidRDefault="00996648" w:rsidP="00996648">
            <w:pPr>
              <w:rPr>
                <w:rFonts w:cs="Times New Roman"/>
                <w:b/>
                <w:sz w:val="22"/>
              </w:rPr>
            </w:pPr>
            <w:r w:rsidRPr="00507819">
              <w:rPr>
                <w:rFonts w:cs="Times New Roman"/>
                <w:b/>
                <w:sz w:val="22"/>
              </w:rPr>
              <w:t>Argumentele ANRE</w:t>
            </w:r>
          </w:p>
        </w:tc>
      </w:tr>
      <w:tr w:rsidR="00672E96" w:rsidRPr="00507819" w:rsidTr="00507819">
        <w:tc>
          <w:tcPr>
            <w:tcW w:w="2263" w:type="dxa"/>
          </w:tcPr>
          <w:p w:rsidR="00376237" w:rsidRPr="00507819" w:rsidRDefault="00376237" w:rsidP="00376237">
            <w:pPr>
              <w:rPr>
                <w:rFonts w:cs="Times New Roman"/>
                <w:b/>
                <w:sz w:val="22"/>
              </w:rPr>
            </w:pPr>
            <w:r w:rsidRPr="00507819">
              <w:rPr>
                <w:rFonts w:cs="Times New Roman"/>
                <w:b/>
                <w:sz w:val="22"/>
              </w:rPr>
              <w:t>Ministerul Energiei</w:t>
            </w:r>
          </w:p>
          <w:p w:rsidR="00852B5B" w:rsidRPr="00507819" w:rsidRDefault="00852B5B" w:rsidP="00376237">
            <w:pPr>
              <w:rPr>
                <w:rFonts w:cs="Times New Roman"/>
                <w:sz w:val="22"/>
              </w:rPr>
            </w:pPr>
            <w:r w:rsidRPr="00507819">
              <w:rPr>
                <w:rFonts w:cs="Times New Roman"/>
                <w:sz w:val="22"/>
              </w:rPr>
              <w:t>Nr. 07-1055 din 2</w:t>
            </w:r>
            <w:r w:rsidR="00C878C0" w:rsidRPr="00507819">
              <w:rPr>
                <w:rFonts w:cs="Times New Roman"/>
                <w:sz w:val="22"/>
              </w:rPr>
              <w:t>4.04.</w:t>
            </w:r>
            <w:r w:rsidRPr="00507819">
              <w:rPr>
                <w:rFonts w:cs="Times New Roman"/>
                <w:sz w:val="22"/>
              </w:rPr>
              <w:t xml:space="preserve"> 2026</w:t>
            </w:r>
          </w:p>
          <w:p w:rsidR="00672E96" w:rsidRPr="00507819" w:rsidRDefault="00672E96" w:rsidP="00D53487">
            <w:pPr>
              <w:rPr>
                <w:rFonts w:cs="Times New Roman"/>
                <w:sz w:val="22"/>
              </w:rPr>
            </w:pPr>
          </w:p>
        </w:tc>
        <w:tc>
          <w:tcPr>
            <w:tcW w:w="834" w:type="dxa"/>
          </w:tcPr>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B77141" w:rsidRPr="00507819" w:rsidRDefault="00B77141" w:rsidP="00B77141">
            <w:pPr>
              <w:rPr>
                <w:rFonts w:cs="Times New Roman"/>
                <w:b/>
                <w:sz w:val="22"/>
              </w:rPr>
            </w:pPr>
          </w:p>
          <w:p w:rsidR="00672E96" w:rsidRPr="00507819" w:rsidRDefault="00852B5B" w:rsidP="00B77141">
            <w:pPr>
              <w:rPr>
                <w:rFonts w:cs="Times New Roman"/>
                <w:b/>
                <w:sz w:val="22"/>
              </w:rPr>
            </w:pPr>
            <w:r w:rsidRPr="00507819">
              <w:rPr>
                <w:rFonts w:cs="Times New Roman"/>
                <w:b/>
                <w:sz w:val="22"/>
              </w:rPr>
              <w:t>311</w:t>
            </w:r>
            <w:r w:rsidRPr="00507819">
              <w:rPr>
                <w:rFonts w:cs="Times New Roman"/>
                <w:b/>
                <w:sz w:val="22"/>
                <w:vertAlign w:val="superscript"/>
              </w:rPr>
              <w:t>7</w:t>
            </w:r>
          </w:p>
        </w:tc>
        <w:tc>
          <w:tcPr>
            <w:tcW w:w="7483" w:type="dxa"/>
          </w:tcPr>
          <w:p w:rsidR="00FD68ED" w:rsidRPr="00507819" w:rsidRDefault="00852B5B" w:rsidP="00852B5B">
            <w:pPr>
              <w:jc w:val="both"/>
              <w:rPr>
                <w:rFonts w:cs="Times New Roman"/>
                <w:sz w:val="22"/>
              </w:rPr>
            </w:pPr>
            <w:r w:rsidRPr="00507819">
              <w:rPr>
                <w:rFonts w:cs="Times New Roman"/>
                <w:sz w:val="22"/>
              </w:rPr>
              <w:tab/>
              <w:t>Potrivit proiectului, accesul la punctul virtual de tranzacționare (PVT), prin punctul de interconectare (PI) Căușeni, pe direcția de intrare UA→MD, este posibil în limita a 6 mil. m³/zi, iar diferența dintre capacitatea tehnică disponibilă și această limită urmează a fi oferită fără acces la PVT, cu condiția rezervării unei capacități echivalente în PI Grebenyky, pe direcția de ieșire MD→UA. Totodată, potrivit proiectului, volumele transportate în acest regim nu sunt contabilizate în portofoliul de echilibrare al utilizatorului de sistem și nu sunt luate în considerare la calculul dezechilibrului zilnic.</w:t>
            </w:r>
          </w:p>
          <w:p w:rsidR="00852B5B" w:rsidRPr="00507819" w:rsidRDefault="00852B5B" w:rsidP="00852B5B">
            <w:pPr>
              <w:jc w:val="both"/>
              <w:rPr>
                <w:rFonts w:cs="Times New Roman"/>
                <w:b/>
                <w:sz w:val="22"/>
              </w:rPr>
            </w:pPr>
            <w:r w:rsidRPr="00507819">
              <w:rPr>
                <w:rFonts w:cs="Times New Roman"/>
                <w:sz w:val="22"/>
              </w:rPr>
              <w:tab/>
            </w:r>
            <w:r w:rsidRPr="00507819">
              <w:rPr>
                <w:rFonts w:cs="Times New Roman"/>
                <w:b/>
                <w:sz w:val="22"/>
              </w:rPr>
              <w:t xml:space="preserve">În același timp, la pct. 311⁷ </w:t>
            </w:r>
            <w:proofErr w:type="spellStart"/>
            <w:r w:rsidRPr="00507819">
              <w:rPr>
                <w:rFonts w:cs="Times New Roman"/>
                <w:b/>
                <w:sz w:val="22"/>
              </w:rPr>
              <w:t>subpct</w:t>
            </w:r>
            <w:proofErr w:type="spellEnd"/>
            <w:r w:rsidRPr="00507819">
              <w:rPr>
                <w:rFonts w:cs="Times New Roman"/>
                <w:b/>
                <w:sz w:val="22"/>
              </w:rPr>
              <w:t>. 4) în PI Grebenyky, pe direcția ieșire (MD → UA), utilizator de sistem poate rezerva întreaga capacitate tehnică fermă/întreruptibilă disponibilă cu accesul la PVT. În acest context, Ministerul consideră necesar ca raportul dintre capacitatea condiționată, capacitatea fermă/întreruptibilă și accesul la PVT, inclusiv în ceea ce privește utilizarea capacității rezervate la PI Grebenyky, să rezulte cu suficientă claritate în aplicare, astfel încât să fie evitate interpretările neuniforme și eventualele riscuri operaționale pentru funcționarea sistemului.</w:t>
            </w:r>
          </w:p>
          <w:p w:rsidR="00852B5B" w:rsidRPr="00507819" w:rsidRDefault="00852B5B" w:rsidP="00852B5B">
            <w:pPr>
              <w:jc w:val="both"/>
              <w:rPr>
                <w:rFonts w:cs="Times New Roman"/>
                <w:sz w:val="22"/>
              </w:rPr>
            </w:pPr>
            <w:r w:rsidRPr="00507819">
              <w:rPr>
                <w:rFonts w:cs="Times New Roman"/>
                <w:sz w:val="22"/>
              </w:rPr>
              <w:tab/>
              <w:t>În aceste condiții, Ministerul consideră necesar ca aplicarea practică a regimului propus să fie urmărită cu prudență sporită, astfel încât să fie evitate orice congestii, diminuarea flexibilității operaționale a sistemului, afectarea integrității rețelei de transport al gazelor naturale sau restrângerea, în fapt, a capacității disponibile pentru acoperirea consumului intern. În egală măsură, extinderea mecanismelor comerciale destinate tranzitului regional trebuie să fie însoțită de o disciplină riguroasă de echilibrare din partea participanților la piață, astfel încât riscurile comerciale sau operaționale să nu fie transferate asupra sistemului național ori asupra consumatorilor finali din Republica Moldova.</w:t>
            </w:r>
          </w:p>
          <w:p w:rsidR="008C2F31" w:rsidRPr="00507819" w:rsidRDefault="008C2F31" w:rsidP="00852B5B">
            <w:pPr>
              <w:jc w:val="both"/>
              <w:rPr>
                <w:rFonts w:cs="Times New Roman"/>
                <w:sz w:val="22"/>
              </w:rPr>
            </w:pPr>
            <w:r w:rsidRPr="00507819">
              <w:rPr>
                <w:rFonts w:cs="Times New Roman"/>
                <w:sz w:val="22"/>
              </w:rPr>
              <w:tab/>
              <w:t>În concluzie, Ministerul Energiei susține proiectul, cu observații, și consideră necesar ca, în procesul de aprobare și aplicare a noilor prevederi, să fie menținută ca prioritate protecția securității furnizării consumului intern, în special pentru consumatorii casnici, vulnerabili și ceilalți consumatori finali din Republica Moldova, evitarea congestiilor și menținerea integrității operaționale a rețelei de transport al gazelor naturale.</w:t>
            </w:r>
          </w:p>
        </w:tc>
        <w:tc>
          <w:tcPr>
            <w:tcW w:w="4144" w:type="dxa"/>
          </w:tcPr>
          <w:p w:rsidR="00734496" w:rsidRPr="00507819" w:rsidRDefault="00A45228" w:rsidP="00734496">
            <w:pPr>
              <w:jc w:val="both"/>
              <w:rPr>
                <w:rFonts w:cs="Times New Roman"/>
                <w:b/>
                <w:sz w:val="22"/>
              </w:rPr>
            </w:pPr>
            <w:r w:rsidRPr="00507819">
              <w:rPr>
                <w:rFonts w:cs="Times New Roman"/>
                <w:b/>
                <w:sz w:val="22"/>
              </w:rPr>
              <w:t>Nu se acceptă.</w:t>
            </w:r>
            <w:r w:rsidR="00734496" w:rsidRPr="00507819">
              <w:rPr>
                <w:rFonts w:cs="Times New Roman"/>
                <w:b/>
                <w:sz w:val="22"/>
              </w:rPr>
              <w:t xml:space="preserve"> </w:t>
            </w:r>
            <w:r w:rsidR="00734496" w:rsidRPr="00507819">
              <w:rPr>
                <w:rFonts w:cs="Times New Roman"/>
                <w:bCs/>
                <w:sz w:val="22"/>
              </w:rPr>
              <w:t xml:space="preserve">Mecanismul propus privind capacitatea condiționată este construit într-un mod care nu afectează disponibilitatea capacității tehnice în punctul de interconectare Grebenyky, pe direcția de ieșire (MD → UA), ci, dimpotrivă, contribuie la utilizarea mai eficientă a acesteia. În mod explicit, pct. 3117 </w:t>
            </w:r>
            <w:proofErr w:type="spellStart"/>
            <w:r w:rsidR="00734496" w:rsidRPr="00507819">
              <w:rPr>
                <w:rFonts w:cs="Times New Roman"/>
                <w:bCs/>
                <w:sz w:val="22"/>
              </w:rPr>
              <w:t>subpct</w:t>
            </w:r>
            <w:proofErr w:type="spellEnd"/>
            <w:r w:rsidR="00734496" w:rsidRPr="00507819">
              <w:rPr>
                <w:rFonts w:cs="Times New Roman"/>
                <w:bCs/>
                <w:sz w:val="22"/>
              </w:rPr>
              <w:t>. 4) prevede că utilizatorii de sistem pot rezerva întreaga capacitate tehnică fermă/întreruptibilă disponibilă în PI Grebenyky cu acces la PVT, ceea ce confirmă că nu sunt introduse limitări sau reduceri ale capacității oferite în acest punct. Prin urmare, capacitatea în PI Grebenyky nu este influențată negativ de introducerea capacității condiționate, aceasta rămânând pe deplin disponibilă utilizatorilor de sistem în condiții nediscriminatorii, mecanismul propus având rolul de a spori gradul de utilizare a infrastructurii și de a consolida rolul Republicii Moldova în cadrul coridorului transbalcanic de transport al gazelor naturale.</w:t>
            </w:r>
          </w:p>
          <w:p w:rsidR="00A45228" w:rsidRPr="00507819" w:rsidRDefault="00A45228" w:rsidP="00996648">
            <w:pPr>
              <w:rPr>
                <w:rFonts w:cs="Times New Roman"/>
                <w:b/>
                <w:sz w:val="22"/>
              </w:rPr>
            </w:pPr>
          </w:p>
        </w:tc>
      </w:tr>
      <w:tr w:rsidR="0056186F" w:rsidRPr="00507819" w:rsidTr="00507819">
        <w:tc>
          <w:tcPr>
            <w:tcW w:w="2263" w:type="dxa"/>
          </w:tcPr>
          <w:p w:rsidR="0056186F" w:rsidRPr="00507819" w:rsidRDefault="00F156CE" w:rsidP="00376237">
            <w:pPr>
              <w:rPr>
                <w:rFonts w:cs="Times New Roman"/>
                <w:b/>
                <w:sz w:val="22"/>
              </w:rPr>
            </w:pPr>
            <w:r w:rsidRPr="00507819">
              <w:rPr>
                <w:rFonts w:cs="Times New Roman"/>
                <w:b/>
                <w:sz w:val="22"/>
              </w:rPr>
              <w:t>Autoritatea Națională de Reglementare în Domeniul Energiei</w:t>
            </w:r>
          </w:p>
          <w:p w:rsidR="00F156CE" w:rsidRPr="00507819" w:rsidRDefault="00F156CE" w:rsidP="00376237">
            <w:pPr>
              <w:rPr>
                <w:rFonts w:cs="Times New Roman"/>
                <w:sz w:val="22"/>
              </w:rPr>
            </w:pPr>
            <w:r w:rsidRPr="00507819">
              <w:rPr>
                <w:rFonts w:cs="Times New Roman"/>
                <w:sz w:val="22"/>
              </w:rPr>
              <w:lastRenderedPageBreak/>
              <w:t>Nr.C2252 din 29.04.2026</w:t>
            </w:r>
          </w:p>
        </w:tc>
        <w:tc>
          <w:tcPr>
            <w:tcW w:w="834" w:type="dxa"/>
          </w:tcPr>
          <w:p w:rsidR="0056186F" w:rsidRPr="00507819" w:rsidRDefault="0056186F"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vertAlign w:val="superscript"/>
              </w:rPr>
            </w:pPr>
            <w:r w:rsidRPr="00507819">
              <w:rPr>
                <w:rFonts w:cs="Times New Roman"/>
                <w:b/>
                <w:sz w:val="22"/>
              </w:rPr>
              <w:t>311</w:t>
            </w:r>
            <w:r w:rsidRPr="00507819">
              <w:rPr>
                <w:rFonts w:cs="Times New Roman"/>
                <w:b/>
                <w:sz w:val="22"/>
                <w:vertAlign w:val="superscript"/>
              </w:rPr>
              <w:t>1</w:t>
            </w:r>
          </w:p>
          <w:p w:rsidR="00F64B23" w:rsidRPr="00507819" w:rsidRDefault="00F64B23" w:rsidP="00B77141">
            <w:pPr>
              <w:rPr>
                <w:rFonts w:cs="Times New Roman"/>
                <w:b/>
                <w:sz w:val="22"/>
                <w:vertAlign w:val="superscript"/>
              </w:rPr>
            </w:pPr>
          </w:p>
          <w:p w:rsidR="00F64B23" w:rsidRPr="00507819" w:rsidRDefault="00F64B23" w:rsidP="00B77141">
            <w:pPr>
              <w:rPr>
                <w:rFonts w:cs="Times New Roman"/>
                <w:b/>
                <w:sz w:val="22"/>
                <w:vertAlign w:val="superscript"/>
              </w:rPr>
            </w:pPr>
          </w:p>
          <w:p w:rsidR="00F64B23" w:rsidRPr="00507819" w:rsidRDefault="00F64B23" w:rsidP="00B77141">
            <w:pPr>
              <w:rPr>
                <w:rFonts w:cs="Times New Roman"/>
                <w:b/>
                <w:sz w:val="22"/>
                <w:vertAlign w:val="superscript"/>
              </w:rPr>
            </w:pPr>
          </w:p>
          <w:p w:rsidR="00F64B23" w:rsidRPr="00507819" w:rsidRDefault="00F64B23" w:rsidP="00B77141">
            <w:pPr>
              <w:rPr>
                <w:rFonts w:cs="Times New Roman"/>
                <w:b/>
                <w:sz w:val="22"/>
                <w:vertAlign w:val="superscript"/>
              </w:rPr>
            </w:pPr>
          </w:p>
          <w:p w:rsidR="00F64B23" w:rsidRPr="00507819" w:rsidRDefault="00F64B23" w:rsidP="00B77141">
            <w:pPr>
              <w:rPr>
                <w:rFonts w:cs="Times New Roman"/>
                <w:b/>
                <w:sz w:val="22"/>
              </w:rPr>
            </w:pPr>
            <w:r w:rsidRPr="00507819">
              <w:rPr>
                <w:rFonts w:cs="Times New Roman"/>
                <w:b/>
                <w:sz w:val="22"/>
              </w:rPr>
              <w:t>311</w:t>
            </w:r>
            <w:r w:rsidRPr="00507819">
              <w:rPr>
                <w:rFonts w:cs="Times New Roman"/>
                <w:b/>
                <w:sz w:val="22"/>
                <w:vertAlign w:val="superscript"/>
              </w:rPr>
              <w:t>2</w:t>
            </w: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r w:rsidRPr="00507819">
              <w:rPr>
                <w:rFonts w:cs="Times New Roman"/>
                <w:b/>
                <w:sz w:val="22"/>
              </w:rPr>
              <w:t>311</w:t>
            </w:r>
            <w:r w:rsidRPr="00507819">
              <w:rPr>
                <w:rFonts w:cs="Times New Roman"/>
                <w:b/>
                <w:sz w:val="22"/>
                <w:vertAlign w:val="superscript"/>
              </w:rPr>
              <w:t>3</w:t>
            </w:r>
          </w:p>
          <w:p w:rsidR="00F64B23" w:rsidRPr="00507819" w:rsidRDefault="00F64B23" w:rsidP="00B77141">
            <w:pPr>
              <w:rPr>
                <w:rFonts w:cs="Times New Roman"/>
                <w:b/>
                <w:sz w:val="22"/>
                <w:vertAlign w:val="superscript"/>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p>
          <w:p w:rsidR="00F64B23" w:rsidRPr="00507819" w:rsidRDefault="00F64B23" w:rsidP="00B77141">
            <w:pPr>
              <w:rPr>
                <w:rFonts w:cs="Times New Roman"/>
                <w:b/>
                <w:sz w:val="22"/>
              </w:rPr>
            </w:pPr>
            <w:r w:rsidRPr="00507819">
              <w:rPr>
                <w:rFonts w:cs="Times New Roman"/>
                <w:b/>
                <w:sz w:val="22"/>
              </w:rPr>
              <w:t>311</w:t>
            </w:r>
            <w:r w:rsidRPr="00507819">
              <w:rPr>
                <w:rFonts w:cs="Times New Roman"/>
                <w:b/>
                <w:sz w:val="22"/>
                <w:vertAlign w:val="superscript"/>
              </w:rPr>
              <w:t>7</w:t>
            </w:r>
          </w:p>
        </w:tc>
        <w:tc>
          <w:tcPr>
            <w:tcW w:w="7483" w:type="dxa"/>
          </w:tcPr>
          <w:p w:rsidR="0056186F" w:rsidRPr="00507819" w:rsidRDefault="0056186F" w:rsidP="0056186F">
            <w:pPr>
              <w:jc w:val="both"/>
              <w:rPr>
                <w:rFonts w:cs="Times New Roman"/>
                <w:sz w:val="22"/>
              </w:rPr>
            </w:pPr>
            <w:r w:rsidRPr="00507819">
              <w:rPr>
                <w:rFonts w:cs="Times New Roman"/>
                <w:sz w:val="22"/>
              </w:rPr>
              <w:lastRenderedPageBreak/>
              <w:tab/>
              <w:t>În vederea unei mai bune interpretări considerăm totuși necesar reformularea art. 311</w:t>
            </w:r>
            <w:r w:rsidRPr="00507819">
              <w:rPr>
                <w:rFonts w:cs="Times New Roman"/>
                <w:sz w:val="22"/>
                <w:vertAlign w:val="superscript"/>
              </w:rPr>
              <w:t>1</w:t>
            </w:r>
            <w:r w:rsidRPr="00507819">
              <w:rPr>
                <w:rFonts w:cs="Times New Roman"/>
                <w:sz w:val="22"/>
              </w:rPr>
              <w:t>-311</w:t>
            </w:r>
            <w:r w:rsidRPr="00507819">
              <w:rPr>
                <w:rFonts w:cs="Times New Roman"/>
                <w:sz w:val="22"/>
                <w:vertAlign w:val="superscript"/>
              </w:rPr>
              <w:t>3</w:t>
            </w:r>
            <w:r w:rsidRPr="00507819">
              <w:rPr>
                <w:rFonts w:cs="Times New Roman"/>
                <w:sz w:val="22"/>
              </w:rPr>
              <w:t xml:space="preserve"> din proiectul de Hotărâre în sensul corelării celor precizate în Nota de fundamentare, respectiv: „se propune capacitatea condiționată să fie oferită utilizatorilor de sistem </w:t>
            </w:r>
            <w:r w:rsidRPr="00507819">
              <w:rPr>
                <w:rFonts w:cs="Times New Roman"/>
                <w:b/>
                <w:sz w:val="22"/>
              </w:rPr>
              <w:t>exclusiv</w:t>
            </w:r>
            <w:r w:rsidRPr="00507819">
              <w:rPr>
                <w:rFonts w:cs="Times New Roman"/>
                <w:sz w:val="22"/>
              </w:rPr>
              <w:t xml:space="preserve"> pentru transportul gazelor naturale din punctul de interconectare de intrare PI Căușeni (UA→MD) pentru capacitatea fără </w:t>
            </w:r>
            <w:r w:rsidRPr="00507819">
              <w:rPr>
                <w:rFonts w:cs="Times New Roman"/>
                <w:sz w:val="22"/>
              </w:rPr>
              <w:lastRenderedPageBreak/>
              <w:t xml:space="preserve">acces la punctul virtual de tranzacționare (PVT) și condiționată de ieșirea în PI Grebenyky." </w:t>
            </w:r>
            <w:r w:rsidRPr="00507819">
              <w:rPr>
                <w:rFonts w:cs="Times New Roman"/>
                <w:sz w:val="22"/>
              </w:rPr>
              <w:tab/>
              <w:t xml:space="preserve">Din </w:t>
            </w:r>
            <w:proofErr w:type="spellStart"/>
            <w:r w:rsidRPr="00507819">
              <w:rPr>
                <w:rFonts w:cs="Times New Roman"/>
                <w:sz w:val="22"/>
              </w:rPr>
              <w:t>enunţul</w:t>
            </w:r>
            <w:proofErr w:type="spellEnd"/>
            <w:r w:rsidRPr="00507819">
              <w:rPr>
                <w:rFonts w:cs="Times New Roman"/>
                <w:sz w:val="22"/>
              </w:rPr>
              <w:t xml:space="preserve"> art. 311 reiese faptul că scopul proiectului de hotărâre îl constituie oferirea de către OTS a capacității condiționate în cadrul tuturor punctelor de interconectare de intrare şi a punctelor de interconectare de ieşire din cadrul coridorului Transbalcanic nu doar în cazul punctelor de interconectare Moldova-Ucraina </w:t>
            </w:r>
            <w:proofErr w:type="spellStart"/>
            <w:r w:rsidRPr="00507819">
              <w:rPr>
                <w:rFonts w:cs="Times New Roman"/>
                <w:sz w:val="22"/>
              </w:rPr>
              <w:t>aşa</w:t>
            </w:r>
            <w:proofErr w:type="spellEnd"/>
            <w:r w:rsidRPr="00507819">
              <w:rPr>
                <w:rFonts w:cs="Times New Roman"/>
                <w:sz w:val="22"/>
              </w:rPr>
              <w:t xml:space="preserve"> cum reiese din Nota de fundamentare. </w:t>
            </w:r>
          </w:p>
          <w:p w:rsidR="0056186F" w:rsidRPr="00507819" w:rsidRDefault="0056186F" w:rsidP="0056186F">
            <w:pPr>
              <w:jc w:val="both"/>
              <w:rPr>
                <w:rFonts w:cs="Times New Roman"/>
                <w:i/>
                <w:sz w:val="22"/>
              </w:rPr>
            </w:pPr>
            <w:r w:rsidRPr="00507819">
              <w:rPr>
                <w:rFonts w:cs="Times New Roman"/>
                <w:sz w:val="22"/>
              </w:rPr>
              <w:tab/>
            </w:r>
            <w:r w:rsidRPr="00507819">
              <w:rPr>
                <w:rFonts w:cs="Times New Roman"/>
                <w:i/>
                <w:sz w:val="22"/>
              </w:rPr>
              <w:t xml:space="preserve">„311'. În scopul sporirii utilizării capacităților rețelelor de transport ale Republicii Moldova ca parte componentă a coridorului vertical de transport al gazelor naturale (coridorul Transbalcanic), OST asigură capacitate condiționată prin dreptul de a utiliza simultan capacitatea punctelor de interconectare de intrare și a punctelor de interconectare de ieșire de către utilizatorii de sistem, în condițiile prezentului Capitol. </w:t>
            </w:r>
            <w:r w:rsidRPr="00507819">
              <w:rPr>
                <w:rFonts w:cs="Times New Roman"/>
                <w:i/>
                <w:sz w:val="22"/>
              </w:rPr>
              <w:tab/>
            </w:r>
          </w:p>
          <w:p w:rsidR="0056186F" w:rsidRPr="00507819" w:rsidRDefault="0056186F" w:rsidP="0056186F">
            <w:pPr>
              <w:jc w:val="both"/>
              <w:rPr>
                <w:rFonts w:cs="Times New Roman"/>
                <w:i/>
                <w:sz w:val="22"/>
              </w:rPr>
            </w:pPr>
            <w:r w:rsidRPr="00507819">
              <w:rPr>
                <w:rFonts w:cs="Times New Roman"/>
                <w:i/>
                <w:sz w:val="22"/>
              </w:rPr>
              <w:tab/>
              <w:t>311</w:t>
            </w:r>
            <w:r w:rsidRPr="00507819">
              <w:rPr>
                <w:rFonts w:cs="Times New Roman"/>
                <w:i/>
                <w:sz w:val="22"/>
                <w:vertAlign w:val="superscript"/>
              </w:rPr>
              <w:t>2</w:t>
            </w:r>
            <w:r w:rsidRPr="00507819">
              <w:rPr>
                <w:rFonts w:cs="Times New Roman"/>
                <w:i/>
                <w:sz w:val="22"/>
              </w:rPr>
              <w:t>. Accesul la capacitatea condiționată este oferit pentru produse de capacitate de tip zi următoare/lunare/trimestriale/anuale, în funcție de capacitățile tehnice ale punctelor de interconectare de intrare/de ieşire ale OST.</w:t>
            </w:r>
          </w:p>
          <w:p w:rsidR="00507819" w:rsidRPr="00507819" w:rsidRDefault="0056186F" w:rsidP="0056186F">
            <w:pPr>
              <w:jc w:val="both"/>
              <w:rPr>
                <w:rFonts w:cs="Times New Roman"/>
                <w:i/>
                <w:sz w:val="22"/>
              </w:rPr>
            </w:pPr>
            <w:r w:rsidRPr="00507819">
              <w:rPr>
                <w:rFonts w:cs="Times New Roman"/>
                <w:i/>
                <w:sz w:val="22"/>
              </w:rPr>
              <w:tab/>
              <w:t>311</w:t>
            </w:r>
            <w:r w:rsidRPr="00507819">
              <w:rPr>
                <w:rFonts w:cs="Times New Roman"/>
                <w:i/>
                <w:sz w:val="22"/>
                <w:vertAlign w:val="superscript"/>
              </w:rPr>
              <w:t>3</w:t>
            </w:r>
            <w:r w:rsidRPr="00507819">
              <w:rPr>
                <w:rFonts w:cs="Times New Roman"/>
                <w:i/>
                <w:sz w:val="22"/>
              </w:rPr>
              <w:t>. OST asigură accesul la capacitatea condiționată la punctele de interconectare de intrare/de ieșire pentru care Agenția a aprobat tarife pentru capacitatea condiționată, în conformitate cu prezentul Cod. OST publică pe pagina sa web oficială lista punctelor de interconectare de intrare/de ieşire la care este oferită capacitatea condiționată și tarifele aplicabile.”</w:t>
            </w:r>
          </w:p>
          <w:p w:rsidR="00507819" w:rsidRDefault="00507819" w:rsidP="0056186F">
            <w:pPr>
              <w:jc w:val="both"/>
              <w:rPr>
                <w:rFonts w:cs="Times New Roman"/>
                <w:sz w:val="22"/>
              </w:rPr>
            </w:pPr>
          </w:p>
          <w:p w:rsidR="0056186F" w:rsidRPr="00507819" w:rsidRDefault="0056186F" w:rsidP="0056186F">
            <w:pPr>
              <w:jc w:val="both"/>
              <w:rPr>
                <w:rFonts w:cs="Times New Roman"/>
                <w:sz w:val="22"/>
              </w:rPr>
            </w:pPr>
            <w:r w:rsidRPr="00507819">
              <w:rPr>
                <w:rFonts w:cs="Times New Roman"/>
                <w:sz w:val="22"/>
              </w:rPr>
              <w:t xml:space="preserve">De asemenea, considerăm utilă precizarea, în cadrul proiectului de Hotărâre, dacă utilizarea capacității condiționate este determinată sau nu de îndeplinirea </w:t>
            </w:r>
            <w:r w:rsidRPr="00507819">
              <w:rPr>
                <w:rFonts w:cs="Times New Roman"/>
                <w:b/>
                <w:sz w:val="22"/>
              </w:rPr>
              <w:t>cumulativă</w:t>
            </w:r>
            <w:r w:rsidRPr="00507819">
              <w:rPr>
                <w:rFonts w:cs="Times New Roman"/>
                <w:sz w:val="22"/>
              </w:rPr>
              <w:t xml:space="preserve"> a condițiilor prevăzute la art. 311</w:t>
            </w:r>
            <w:r w:rsidRPr="00507819">
              <w:rPr>
                <w:rFonts w:cs="Times New Roman"/>
                <w:sz w:val="22"/>
                <w:vertAlign w:val="superscript"/>
              </w:rPr>
              <w:t>7</w:t>
            </w:r>
            <w:r w:rsidRPr="00507819">
              <w:rPr>
                <w:rFonts w:cs="Times New Roman"/>
                <w:sz w:val="22"/>
              </w:rPr>
              <w:t xml:space="preserve"> alin. (1) - (7). </w:t>
            </w:r>
          </w:p>
          <w:p w:rsidR="0056186F" w:rsidRPr="00507819" w:rsidRDefault="0056186F" w:rsidP="0056186F">
            <w:pPr>
              <w:jc w:val="both"/>
              <w:rPr>
                <w:rFonts w:cs="Times New Roman"/>
                <w:i/>
                <w:sz w:val="22"/>
              </w:rPr>
            </w:pPr>
            <w:r w:rsidRPr="00507819">
              <w:rPr>
                <w:rFonts w:cs="Times New Roman"/>
                <w:i/>
                <w:sz w:val="22"/>
              </w:rPr>
              <w:t>„311</w:t>
            </w:r>
            <w:r w:rsidRPr="00507819">
              <w:rPr>
                <w:rFonts w:cs="Times New Roman"/>
                <w:i/>
                <w:sz w:val="22"/>
                <w:vertAlign w:val="superscript"/>
              </w:rPr>
              <w:t>7</w:t>
            </w:r>
            <w:r w:rsidRPr="00507819">
              <w:rPr>
                <w:rFonts w:cs="Times New Roman"/>
                <w:i/>
                <w:sz w:val="22"/>
              </w:rPr>
              <w:t xml:space="preserve">. Utilizarea capacității condiționate este determinată de următoarele condiții: </w:t>
            </w:r>
          </w:p>
          <w:p w:rsidR="0056186F" w:rsidRPr="00507819" w:rsidRDefault="0056186F" w:rsidP="0056186F">
            <w:pPr>
              <w:jc w:val="both"/>
              <w:rPr>
                <w:rFonts w:cs="Times New Roman"/>
                <w:i/>
                <w:sz w:val="22"/>
              </w:rPr>
            </w:pPr>
            <w:r w:rsidRPr="00507819">
              <w:rPr>
                <w:rFonts w:cs="Times New Roman"/>
                <w:i/>
                <w:sz w:val="22"/>
              </w:rPr>
              <w:tab/>
              <w:t>1) capacitatea condiționată se oferă utilizatorilor de sistem exclusiv pentru transportul gazelor naturale din punctul de interconectare (PI) de intrare PI Căușeni (UA-MD) pentru capacitatea fără acces la PVT;</w:t>
            </w:r>
          </w:p>
          <w:p w:rsidR="0056186F" w:rsidRPr="00507819" w:rsidRDefault="0056186F" w:rsidP="0056186F">
            <w:pPr>
              <w:jc w:val="both"/>
              <w:rPr>
                <w:rFonts w:cs="Times New Roman"/>
                <w:i/>
                <w:sz w:val="22"/>
              </w:rPr>
            </w:pPr>
            <w:r w:rsidRPr="00507819">
              <w:rPr>
                <w:rFonts w:cs="Times New Roman"/>
                <w:i/>
                <w:sz w:val="22"/>
              </w:rPr>
              <w:tab/>
              <w:t xml:space="preserve">2) accesul la PVT prin PI </w:t>
            </w:r>
            <w:r w:rsidR="006A241F" w:rsidRPr="00507819">
              <w:rPr>
                <w:rFonts w:cs="Times New Roman"/>
                <w:i/>
                <w:sz w:val="22"/>
              </w:rPr>
              <w:t>Căușeni</w:t>
            </w:r>
            <w:r w:rsidRPr="00507819">
              <w:rPr>
                <w:rFonts w:cs="Times New Roman"/>
                <w:i/>
                <w:sz w:val="22"/>
              </w:rPr>
              <w:t xml:space="preserve">, pe direcția intrare (UA→MD), din motive operaționale este posibil în limita a 6 mil. m³/zi. Diferența dintre capacitatea tehnică disponibilă și limita de 6 mil. m²³/zi va fi oferită fără acces la PVT, cu condiția rezervării unei capacități egale în PI Grebenyky, pe direcția </w:t>
            </w:r>
            <w:proofErr w:type="spellStart"/>
            <w:r w:rsidRPr="00507819">
              <w:rPr>
                <w:rFonts w:cs="Times New Roman"/>
                <w:i/>
                <w:sz w:val="22"/>
              </w:rPr>
              <w:t>ieşire</w:t>
            </w:r>
            <w:proofErr w:type="spellEnd"/>
            <w:r w:rsidRPr="00507819">
              <w:rPr>
                <w:rFonts w:cs="Times New Roman"/>
                <w:i/>
                <w:sz w:val="22"/>
              </w:rPr>
              <w:t xml:space="preserve"> (MD→UA), ca și capacitate condiționată; </w:t>
            </w:r>
          </w:p>
          <w:p w:rsidR="006A241F" w:rsidRPr="00507819" w:rsidRDefault="0056186F" w:rsidP="006A241F">
            <w:pPr>
              <w:jc w:val="both"/>
              <w:rPr>
                <w:rFonts w:cs="Times New Roman"/>
                <w:i/>
                <w:sz w:val="22"/>
              </w:rPr>
            </w:pPr>
            <w:r w:rsidRPr="00507819">
              <w:rPr>
                <w:rFonts w:cs="Times New Roman"/>
                <w:i/>
                <w:sz w:val="22"/>
              </w:rPr>
              <w:tab/>
              <w:t xml:space="preserve">3) in PI </w:t>
            </w:r>
            <w:r w:rsidR="006A241F" w:rsidRPr="00507819">
              <w:rPr>
                <w:rFonts w:cs="Times New Roman"/>
                <w:i/>
                <w:sz w:val="22"/>
              </w:rPr>
              <w:t>Căușeni</w:t>
            </w:r>
            <w:r w:rsidRPr="00507819">
              <w:rPr>
                <w:rFonts w:cs="Times New Roman"/>
                <w:i/>
                <w:sz w:val="22"/>
              </w:rPr>
              <w:t>, pe direcția intrare, utilizatorul de sistem poate rezerva o capacitate fermă/</w:t>
            </w:r>
            <w:proofErr w:type="spellStart"/>
            <w:r w:rsidRPr="00507819">
              <w:rPr>
                <w:rFonts w:cs="Times New Roman"/>
                <w:i/>
                <w:sz w:val="22"/>
              </w:rPr>
              <w:t>intreruptibilă</w:t>
            </w:r>
            <w:proofErr w:type="spellEnd"/>
            <w:r w:rsidR="006A241F" w:rsidRPr="00507819">
              <w:rPr>
                <w:rFonts w:cs="Times New Roman"/>
                <w:i/>
                <w:sz w:val="22"/>
              </w:rPr>
              <w:t xml:space="preserve"> </w:t>
            </w:r>
            <w:r w:rsidRPr="00507819">
              <w:rPr>
                <w:rFonts w:cs="Times New Roman"/>
                <w:i/>
                <w:sz w:val="22"/>
              </w:rPr>
              <w:t xml:space="preserve">fără acces la PVT, numai dacă, în PI Grebenyky, pe direcția ieșire, </w:t>
            </w:r>
            <w:r w:rsidR="006A241F" w:rsidRPr="00507819">
              <w:rPr>
                <w:rFonts w:cs="Times New Roman"/>
                <w:i/>
                <w:sz w:val="22"/>
              </w:rPr>
              <w:t>același</w:t>
            </w:r>
            <w:r w:rsidRPr="00507819">
              <w:rPr>
                <w:rFonts w:cs="Times New Roman"/>
                <w:i/>
                <w:sz w:val="22"/>
              </w:rPr>
              <w:t xml:space="preserve"> utilizator de sistem rezervă o capacitate cel puțin egală cu cea solicitată în PI Căușeni fără acces la PVT</w:t>
            </w:r>
            <w:r w:rsidR="006A241F" w:rsidRPr="00507819">
              <w:rPr>
                <w:rFonts w:cs="Times New Roman"/>
                <w:i/>
                <w:sz w:val="22"/>
              </w:rPr>
              <w:t>;</w:t>
            </w:r>
            <w:r w:rsidRPr="00507819">
              <w:rPr>
                <w:rFonts w:cs="Times New Roman"/>
                <w:i/>
                <w:sz w:val="22"/>
              </w:rPr>
              <w:t xml:space="preserve"> </w:t>
            </w:r>
          </w:p>
          <w:p w:rsidR="006A241F" w:rsidRPr="00507819" w:rsidRDefault="006A241F" w:rsidP="006A241F">
            <w:pPr>
              <w:jc w:val="both"/>
              <w:rPr>
                <w:rFonts w:cs="Times New Roman"/>
                <w:i/>
                <w:sz w:val="22"/>
              </w:rPr>
            </w:pPr>
            <w:r w:rsidRPr="00507819">
              <w:rPr>
                <w:rFonts w:cs="Times New Roman"/>
                <w:i/>
                <w:sz w:val="22"/>
              </w:rPr>
              <w:tab/>
            </w:r>
            <w:r w:rsidR="0056186F" w:rsidRPr="00507819">
              <w:rPr>
                <w:rFonts w:cs="Times New Roman"/>
                <w:i/>
                <w:sz w:val="22"/>
              </w:rPr>
              <w:t xml:space="preserve">4) în PI Grebenyky, pe direcția </w:t>
            </w:r>
            <w:proofErr w:type="spellStart"/>
            <w:r w:rsidR="0056186F" w:rsidRPr="00507819">
              <w:rPr>
                <w:rFonts w:cs="Times New Roman"/>
                <w:i/>
                <w:sz w:val="22"/>
              </w:rPr>
              <w:t>ieşire</w:t>
            </w:r>
            <w:proofErr w:type="spellEnd"/>
            <w:r w:rsidR="0056186F" w:rsidRPr="00507819">
              <w:rPr>
                <w:rFonts w:cs="Times New Roman"/>
                <w:i/>
                <w:sz w:val="22"/>
              </w:rPr>
              <w:t xml:space="preserve"> (MD→ UA), utilizator de sistem poate rezerva întreaga capacitate tehnică fermă/întreruptibilă disponibilă cu accesul la PVT</w:t>
            </w:r>
            <w:r w:rsidRPr="00507819">
              <w:rPr>
                <w:rFonts w:cs="Times New Roman"/>
                <w:i/>
                <w:sz w:val="22"/>
              </w:rPr>
              <w:t>;</w:t>
            </w:r>
          </w:p>
          <w:p w:rsidR="006A241F" w:rsidRPr="00507819" w:rsidRDefault="006A241F" w:rsidP="006A241F">
            <w:pPr>
              <w:jc w:val="both"/>
              <w:rPr>
                <w:rFonts w:cs="Times New Roman"/>
                <w:i/>
                <w:sz w:val="22"/>
              </w:rPr>
            </w:pPr>
            <w:r w:rsidRPr="00507819">
              <w:rPr>
                <w:rFonts w:cs="Times New Roman"/>
                <w:i/>
                <w:sz w:val="22"/>
              </w:rPr>
              <w:lastRenderedPageBreak/>
              <w:tab/>
            </w:r>
            <w:r w:rsidR="0056186F" w:rsidRPr="00507819">
              <w:rPr>
                <w:rFonts w:cs="Times New Roman"/>
                <w:i/>
                <w:sz w:val="22"/>
              </w:rPr>
              <w:t xml:space="preserve"> 5) capacitatea condiționată nu poate fi utilizată pentru transportul gazelor naturale în/din alte puncte de interconectare de intrare/de ieșire, spre punctele de ieșire în rețelele de distribuție a gazelor naturale sau punctele de ieșire spre consumatorii instalațiile de utilizare ale cărora sunt racordate la rețeaua de transport al gazelor naturale; </w:t>
            </w:r>
          </w:p>
          <w:p w:rsidR="006A241F" w:rsidRPr="00507819" w:rsidRDefault="006A241F" w:rsidP="006A241F">
            <w:pPr>
              <w:jc w:val="both"/>
              <w:rPr>
                <w:rFonts w:cs="Times New Roman"/>
                <w:i/>
                <w:sz w:val="22"/>
              </w:rPr>
            </w:pPr>
            <w:r w:rsidRPr="00507819">
              <w:rPr>
                <w:rFonts w:cs="Times New Roman"/>
                <w:i/>
                <w:sz w:val="22"/>
              </w:rPr>
              <w:tab/>
            </w:r>
            <w:r w:rsidR="0056186F" w:rsidRPr="00507819">
              <w:rPr>
                <w:rFonts w:cs="Times New Roman"/>
                <w:i/>
                <w:sz w:val="22"/>
              </w:rPr>
              <w:t xml:space="preserve">6) cantitatea de gaze naturale injectată în decursul zilei gaziere, la punctul de interconectare de intrare PI </w:t>
            </w:r>
            <w:r w:rsidRPr="00507819">
              <w:rPr>
                <w:rFonts w:cs="Times New Roman"/>
                <w:i/>
                <w:sz w:val="22"/>
              </w:rPr>
              <w:t>Căușeni</w:t>
            </w:r>
            <w:r w:rsidR="0056186F" w:rsidRPr="00507819">
              <w:rPr>
                <w:rFonts w:cs="Times New Roman"/>
                <w:i/>
                <w:sz w:val="22"/>
              </w:rPr>
              <w:t>, în baza capacității condiționate, fără acces la PVT, rezervate în acest punct, trebuie să fie egală cu cantitatea de gaze naturale preluată la punctul de interconectare de ieșire PI Grebenyky</w:t>
            </w:r>
            <w:r w:rsidRPr="00507819">
              <w:rPr>
                <w:rFonts w:cs="Times New Roman"/>
                <w:i/>
                <w:sz w:val="22"/>
              </w:rPr>
              <w:t>;</w:t>
            </w:r>
            <w:r w:rsidR="0056186F" w:rsidRPr="00507819">
              <w:rPr>
                <w:rFonts w:cs="Times New Roman"/>
                <w:i/>
                <w:sz w:val="22"/>
              </w:rPr>
              <w:t xml:space="preserve"> </w:t>
            </w:r>
          </w:p>
          <w:p w:rsidR="0056186F" w:rsidRPr="00507819" w:rsidRDefault="006A241F" w:rsidP="006A241F">
            <w:pPr>
              <w:jc w:val="both"/>
              <w:rPr>
                <w:rFonts w:cs="Times New Roman"/>
                <w:sz w:val="22"/>
              </w:rPr>
            </w:pPr>
            <w:r w:rsidRPr="00507819">
              <w:rPr>
                <w:rFonts w:cs="Times New Roman"/>
                <w:i/>
                <w:sz w:val="22"/>
              </w:rPr>
              <w:tab/>
            </w:r>
            <w:r w:rsidR="0056186F" w:rsidRPr="00507819">
              <w:rPr>
                <w:rFonts w:cs="Times New Roman"/>
                <w:i/>
                <w:sz w:val="22"/>
              </w:rPr>
              <w:t xml:space="preserve">7) gazele naturale sunt transportate în regim vamal de tranzit, în conformitate cu </w:t>
            </w:r>
            <w:r w:rsidRPr="00507819">
              <w:rPr>
                <w:rFonts w:cs="Times New Roman"/>
                <w:i/>
                <w:sz w:val="22"/>
              </w:rPr>
              <w:t>cerinţele</w:t>
            </w:r>
            <w:r w:rsidR="0056186F" w:rsidRPr="00507819">
              <w:rPr>
                <w:rFonts w:cs="Times New Roman"/>
                <w:i/>
                <w:sz w:val="22"/>
              </w:rPr>
              <w:t xml:space="preserve"> Codului Vamal al Republicii Moldova</w:t>
            </w:r>
            <w:r w:rsidRPr="00507819">
              <w:rPr>
                <w:rFonts w:cs="Times New Roman"/>
                <w:i/>
                <w:sz w:val="22"/>
              </w:rPr>
              <w:t xml:space="preserve"> aprobat prin Legea nr. 95/2021”</w:t>
            </w:r>
          </w:p>
        </w:tc>
        <w:tc>
          <w:tcPr>
            <w:tcW w:w="4144" w:type="dxa"/>
          </w:tcPr>
          <w:p w:rsidR="0056186F" w:rsidRPr="00507819" w:rsidRDefault="008A31C7" w:rsidP="00734496">
            <w:pPr>
              <w:jc w:val="both"/>
              <w:rPr>
                <w:rFonts w:cs="Times New Roman"/>
                <w:b/>
                <w:sz w:val="22"/>
              </w:rPr>
            </w:pPr>
            <w:r w:rsidRPr="00507819">
              <w:rPr>
                <w:rFonts w:cs="Times New Roman"/>
                <w:b/>
                <w:sz w:val="22"/>
              </w:rPr>
              <w:lastRenderedPageBreak/>
              <w:t xml:space="preserve">Nu se acceptă. </w:t>
            </w:r>
          </w:p>
          <w:p w:rsidR="00507819" w:rsidRPr="00507819" w:rsidRDefault="00507819" w:rsidP="00734496">
            <w:pPr>
              <w:jc w:val="both"/>
              <w:rPr>
                <w:rFonts w:cs="Times New Roman"/>
                <w:sz w:val="22"/>
              </w:rPr>
            </w:pPr>
            <w:r w:rsidRPr="00507819">
              <w:rPr>
                <w:rFonts w:cs="Times New Roman"/>
                <w:sz w:val="22"/>
              </w:rPr>
              <w:t xml:space="preserve">Punctele de interconectare aferente coridorului transbalcanic operate de VMTG sunt PI Căușeni și PI Grebenyky.  </w:t>
            </w:r>
          </w:p>
          <w:p w:rsidR="008A31C7" w:rsidRPr="00507819" w:rsidRDefault="008A31C7" w:rsidP="008A31C7">
            <w:pPr>
              <w:pStyle w:val="ListParagraph"/>
              <w:numPr>
                <w:ilvl w:val="0"/>
                <w:numId w:val="5"/>
              </w:numPr>
              <w:tabs>
                <w:tab w:val="left" w:pos="328"/>
              </w:tabs>
              <w:ind w:left="31" w:hanging="31"/>
              <w:jc w:val="both"/>
              <w:rPr>
                <w:rFonts w:cs="Times New Roman"/>
                <w:b/>
              </w:rPr>
            </w:pPr>
            <w:r w:rsidRPr="00507819">
              <w:rPr>
                <w:rFonts w:ascii="Times New Roman" w:hAnsi="Times New Roman" w:cs="Times New Roman"/>
                <w:lang w:val="ro-RO" w:eastAsia="ru-RU"/>
              </w:rPr>
              <w:lastRenderedPageBreak/>
              <w:t xml:space="preserve">Pct. </w:t>
            </w:r>
            <w:r w:rsidRPr="00507819">
              <w:rPr>
                <w:rFonts w:ascii="Times New Roman" w:hAnsi="Times New Roman" w:cs="Times New Roman"/>
                <w:lang w:val="ro-RO" w:eastAsia="ru-RU"/>
              </w:rPr>
              <w:t>311</w:t>
            </w:r>
            <w:r w:rsidRPr="00507819">
              <w:rPr>
                <w:rFonts w:ascii="Times New Roman" w:hAnsi="Times New Roman" w:cs="Times New Roman"/>
                <w:vertAlign w:val="superscript"/>
                <w:lang w:val="ro-RO" w:eastAsia="ru-RU"/>
              </w:rPr>
              <w:t>1</w:t>
            </w:r>
            <w:r w:rsidRPr="00507819">
              <w:rPr>
                <w:rFonts w:ascii="Times New Roman" w:hAnsi="Times New Roman" w:cs="Times New Roman"/>
                <w:lang w:val="ro-RO" w:eastAsia="ru-RU"/>
              </w:rPr>
              <w:t xml:space="preserve"> prevede expres că </w:t>
            </w:r>
            <w:r w:rsidRPr="00507819">
              <w:rPr>
                <w:rFonts w:ascii="Times New Roman" w:hAnsi="Times New Roman" w:cs="Times New Roman"/>
                <w:lang w:val="ro-RO" w:eastAsia="ru-RU"/>
              </w:rPr>
              <w:t xml:space="preserve"> scopul </w:t>
            </w:r>
            <w:r w:rsidRPr="00507819">
              <w:rPr>
                <w:rFonts w:ascii="Times New Roman" w:hAnsi="Times New Roman" w:cs="Times New Roman"/>
                <w:lang w:val="ro-RO" w:eastAsia="ru-RU"/>
              </w:rPr>
              <w:t xml:space="preserve">instituirii capacității condiționate este </w:t>
            </w:r>
            <w:r w:rsidRPr="00507819">
              <w:rPr>
                <w:rFonts w:ascii="Times New Roman" w:hAnsi="Times New Roman" w:cs="Times New Roman"/>
                <w:lang w:val="ro-RO" w:eastAsia="ru-RU"/>
              </w:rPr>
              <w:t>sporir</w:t>
            </w:r>
            <w:r w:rsidRPr="00507819">
              <w:rPr>
                <w:rFonts w:ascii="Times New Roman" w:hAnsi="Times New Roman" w:cs="Times New Roman"/>
                <w:lang w:val="ro-RO" w:eastAsia="ru-RU"/>
              </w:rPr>
              <w:t>ea</w:t>
            </w:r>
            <w:r w:rsidRPr="00507819">
              <w:rPr>
                <w:rFonts w:ascii="Times New Roman" w:hAnsi="Times New Roman" w:cs="Times New Roman"/>
                <w:lang w:val="ro-RO" w:eastAsia="ru-RU"/>
              </w:rPr>
              <w:t xml:space="preserve"> utilizării capac</w:t>
            </w:r>
            <w:r w:rsidRPr="00507819">
              <w:rPr>
                <w:rFonts w:ascii="Times New Roman" w:hAnsi="Times New Roman" w:cs="Times New Roman"/>
                <w:lang w:val="ro-RO" w:eastAsia="ru-RU"/>
              </w:rPr>
              <w:t xml:space="preserve">ităților rețelelor de transport pe </w:t>
            </w:r>
            <w:r w:rsidRPr="00507819">
              <w:rPr>
                <w:rFonts w:ascii="Times New Roman" w:hAnsi="Times New Roman" w:cs="Times New Roman"/>
                <w:b/>
                <w:lang w:val="ro-RO" w:eastAsia="ru-RU"/>
              </w:rPr>
              <w:t>coridorul </w:t>
            </w:r>
          </w:p>
          <w:p w:rsidR="008A31C7" w:rsidRPr="00507819" w:rsidRDefault="008A31C7" w:rsidP="008A31C7">
            <w:pPr>
              <w:pStyle w:val="ListParagraph"/>
              <w:tabs>
                <w:tab w:val="left" w:pos="328"/>
              </w:tabs>
              <w:ind w:left="31"/>
              <w:jc w:val="both"/>
              <w:rPr>
                <w:rFonts w:cs="Times New Roman"/>
                <w:b/>
              </w:rPr>
            </w:pPr>
            <w:r w:rsidRPr="00507819">
              <w:rPr>
                <w:rFonts w:ascii="Times New Roman" w:hAnsi="Times New Roman" w:cs="Times New Roman"/>
                <w:b/>
                <w:lang w:val="ro-RO" w:eastAsia="ru-RU"/>
              </w:rPr>
              <w:t>Transbalcanic</w:t>
            </w:r>
            <w:r w:rsidRPr="00507819">
              <w:rPr>
                <w:rFonts w:ascii="Times New Roman" w:hAnsi="Times New Roman"/>
                <w:i/>
                <w:lang w:val="ro-RO" w:eastAsia="ru-RU"/>
              </w:rPr>
              <w:t>.</w:t>
            </w:r>
          </w:p>
          <w:p w:rsidR="008A31C7" w:rsidRPr="00507819" w:rsidRDefault="008A31C7" w:rsidP="008A31C7">
            <w:pPr>
              <w:pStyle w:val="ListParagraph"/>
              <w:numPr>
                <w:ilvl w:val="0"/>
                <w:numId w:val="5"/>
              </w:numPr>
              <w:tabs>
                <w:tab w:val="left" w:pos="328"/>
              </w:tabs>
              <w:ind w:left="31" w:hanging="31"/>
              <w:jc w:val="both"/>
              <w:rPr>
                <w:lang w:eastAsia="ru-RU"/>
              </w:rPr>
            </w:pPr>
            <w:r w:rsidRPr="00507819">
              <w:rPr>
                <w:rFonts w:ascii="Times New Roman" w:hAnsi="Times New Roman"/>
                <w:lang w:val="ro-RO" w:eastAsia="ru-RU"/>
              </w:rPr>
              <w:t>Conform  pct. 311</w:t>
            </w:r>
            <w:r w:rsidRPr="00507819">
              <w:rPr>
                <w:rFonts w:ascii="Times New Roman" w:hAnsi="Times New Roman"/>
                <w:vertAlign w:val="superscript"/>
                <w:lang w:val="ro-RO" w:eastAsia="ru-RU"/>
              </w:rPr>
              <w:t>7</w:t>
            </w:r>
            <w:r w:rsidRPr="00507819">
              <w:rPr>
                <w:rFonts w:ascii="Times New Roman" w:hAnsi="Times New Roman"/>
                <w:lang w:val="ro-RO" w:eastAsia="ru-RU"/>
              </w:rPr>
              <w:t xml:space="preserve"> </w:t>
            </w:r>
          </w:p>
          <w:p w:rsidR="008A31C7" w:rsidRPr="00507819" w:rsidRDefault="008A31C7" w:rsidP="008A31C7">
            <w:pPr>
              <w:pStyle w:val="ListParagraph"/>
              <w:tabs>
                <w:tab w:val="left" w:pos="328"/>
              </w:tabs>
              <w:ind w:left="31"/>
              <w:jc w:val="both"/>
              <w:rPr>
                <w:lang w:eastAsia="ru-RU"/>
              </w:rPr>
            </w:pPr>
            <w:r w:rsidRPr="00507819">
              <w:rPr>
                <w:rFonts w:ascii="Times New Roman" w:hAnsi="Times New Roman"/>
                <w:lang w:val="ro-RO" w:eastAsia="ru-RU"/>
              </w:rPr>
              <w:t xml:space="preserve">- </w:t>
            </w:r>
            <w:r w:rsidRPr="00507819">
              <w:rPr>
                <w:rFonts w:ascii="Times New Roman" w:hAnsi="Times New Roman"/>
                <w:lang w:val="ro-RO" w:eastAsia="ru-RU"/>
              </w:rPr>
              <w:t xml:space="preserve">capacitatea condiționată se oferă </w:t>
            </w:r>
            <w:r w:rsidRPr="00507819">
              <w:rPr>
                <w:rFonts w:ascii="Times New Roman" w:hAnsi="Times New Roman"/>
                <w:lang w:val="ro-RO" w:eastAsia="ru-RU"/>
              </w:rPr>
              <w:t>US</w:t>
            </w:r>
            <w:r w:rsidRPr="00507819">
              <w:rPr>
                <w:rFonts w:ascii="Times New Roman" w:hAnsi="Times New Roman"/>
                <w:lang w:val="ro-RO" w:eastAsia="ru-RU"/>
              </w:rPr>
              <w:t xml:space="preserve"> </w:t>
            </w:r>
            <w:r w:rsidRPr="00507819">
              <w:rPr>
                <w:rFonts w:ascii="Times New Roman" w:hAnsi="Times New Roman"/>
                <w:b/>
                <w:lang w:val="ro-RO" w:eastAsia="ru-RU"/>
              </w:rPr>
              <w:t>exclusiv</w:t>
            </w:r>
            <w:r w:rsidRPr="00507819">
              <w:rPr>
                <w:rFonts w:ascii="Times New Roman" w:hAnsi="Times New Roman"/>
                <w:lang w:val="ro-RO" w:eastAsia="ru-RU"/>
              </w:rPr>
              <w:t xml:space="preserve"> pentru transportul gazelor naturale din punctul de interconectare (PI) de intrare </w:t>
            </w:r>
            <w:r w:rsidRPr="00507819">
              <w:rPr>
                <w:rFonts w:ascii="Times New Roman" w:hAnsi="Times New Roman"/>
                <w:b/>
                <w:lang w:val="ro-RO" w:eastAsia="ru-RU"/>
              </w:rPr>
              <w:t>PI Căușeni</w:t>
            </w:r>
            <w:r w:rsidRPr="00507819">
              <w:rPr>
                <w:rFonts w:ascii="Times New Roman" w:hAnsi="Times New Roman"/>
                <w:lang w:val="ro-RO" w:eastAsia="ru-RU"/>
              </w:rPr>
              <w:t xml:space="preserve"> (UA→MD) pentru capacitatea fără acces la PVT;</w:t>
            </w:r>
          </w:p>
          <w:p w:rsidR="008A31C7" w:rsidRPr="00507819" w:rsidRDefault="008A31C7" w:rsidP="008A31C7">
            <w:pPr>
              <w:shd w:val="clear" w:color="auto" w:fill="FFFFFF"/>
              <w:jc w:val="both"/>
              <w:rPr>
                <w:sz w:val="22"/>
                <w:lang w:val="en-US" w:eastAsia="ru-RU"/>
              </w:rPr>
            </w:pPr>
            <w:r w:rsidRPr="00507819">
              <w:rPr>
                <w:sz w:val="22"/>
                <w:lang w:eastAsia="ru-RU"/>
              </w:rPr>
              <w:t>-</w:t>
            </w:r>
            <w:r w:rsidRPr="00507819">
              <w:rPr>
                <w:sz w:val="22"/>
                <w:lang w:eastAsia="ru-RU"/>
              </w:rPr>
              <w:t> accesul la PVT prin PI Căușeni, pe direcția intrare (UA→MD), din motive operaționale este posibil în limita a 6 mil. m</w:t>
            </w:r>
            <w:r w:rsidRPr="00507819">
              <w:rPr>
                <w:sz w:val="22"/>
                <w:vertAlign w:val="superscript"/>
                <w:lang w:eastAsia="ru-RU"/>
              </w:rPr>
              <w:t>3</w:t>
            </w:r>
            <w:r w:rsidRPr="00507819">
              <w:rPr>
                <w:sz w:val="22"/>
                <w:lang w:eastAsia="ru-RU"/>
              </w:rPr>
              <w:t>/zi. Diferența dintre capacitatea tehnică disponibilă și limita de 6 mil. m</w:t>
            </w:r>
            <w:r w:rsidRPr="00507819">
              <w:rPr>
                <w:sz w:val="22"/>
                <w:vertAlign w:val="superscript"/>
                <w:lang w:eastAsia="ru-RU"/>
              </w:rPr>
              <w:t>3</w:t>
            </w:r>
            <w:r w:rsidRPr="00507819">
              <w:rPr>
                <w:sz w:val="22"/>
                <w:lang w:eastAsia="ru-RU"/>
              </w:rPr>
              <w:t xml:space="preserve">/zi va fi oferită fără acces la PVT, cu condiția rezervării unei capacități egale în </w:t>
            </w:r>
            <w:r w:rsidRPr="00507819">
              <w:rPr>
                <w:b/>
                <w:sz w:val="22"/>
                <w:lang w:eastAsia="ru-RU"/>
              </w:rPr>
              <w:t>PI Grebenyky</w:t>
            </w:r>
            <w:r w:rsidRPr="00507819">
              <w:rPr>
                <w:sz w:val="22"/>
                <w:lang w:eastAsia="ru-RU"/>
              </w:rPr>
              <w:t>, pe direcția ieșire (MD→UA)</w:t>
            </w:r>
            <w:r w:rsidRPr="00507819">
              <w:rPr>
                <w:sz w:val="22"/>
                <w:lang w:eastAsia="ru-RU"/>
              </w:rPr>
              <w:t>, ca și capacitate condiționată.</w:t>
            </w:r>
          </w:p>
          <w:p w:rsidR="00507819" w:rsidRDefault="00507819" w:rsidP="008A31C7">
            <w:pPr>
              <w:pStyle w:val="ListParagraph"/>
              <w:tabs>
                <w:tab w:val="left" w:pos="328"/>
              </w:tabs>
              <w:ind w:left="31"/>
              <w:jc w:val="both"/>
              <w:rPr>
                <w:rFonts w:ascii="Times New Roman" w:eastAsiaTheme="minorHAnsi" w:hAnsi="Times New Roman" w:cstheme="minorBidi"/>
                <w:b/>
                <w:lang w:val="ro-RO" w:eastAsia="ru-RU"/>
              </w:rPr>
            </w:pPr>
          </w:p>
          <w:p w:rsidR="00507819" w:rsidRPr="00507819" w:rsidRDefault="00507819" w:rsidP="008A31C7">
            <w:pPr>
              <w:pStyle w:val="ListParagraph"/>
              <w:tabs>
                <w:tab w:val="left" w:pos="328"/>
              </w:tabs>
              <w:ind w:left="31"/>
              <w:jc w:val="both"/>
              <w:rPr>
                <w:rFonts w:cs="Times New Roman"/>
                <w:b/>
              </w:rPr>
            </w:pPr>
            <w:r w:rsidRPr="00507819">
              <w:rPr>
                <w:rFonts w:ascii="Times New Roman" w:eastAsiaTheme="minorHAnsi" w:hAnsi="Times New Roman" w:cstheme="minorBidi"/>
                <w:b/>
                <w:lang w:val="ro-RO" w:eastAsia="ru-RU"/>
              </w:rPr>
              <w:t>Se acceptă.</w:t>
            </w:r>
          </w:p>
        </w:tc>
      </w:tr>
      <w:tr w:rsidR="00376237" w:rsidRPr="00507819" w:rsidTr="00507819">
        <w:tc>
          <w:tcPr>
            <w:tcW w:w="2263" w:type="dxa"/>
          </w:tcPr>
          <w:p w:rsidR="00376237" w:rsidRPr="00507819" w:rsidRDefault="00376237" w:rsidP="00376237">
            <w:pPr>
              <w:rPr>
                <w:rFonts w:cs="Times New Roman"/>
                <w:b/>
                <w:sz w:val="22"/>
              </w:rPr>
            </w:pPr>
            <w:r w:rsidRPr="00507819">
              <w:rPr>
                <w:rFonts w:cs="Times New Roman"/>
                <w:b/>
                <w:sz w:val="22"/>
              </w:rPr>
              <w:lastRenderedPageBreak/>
              <w:t>SRL „</w:t>
            </w:r>
            <w:proofErr w:type="spellStart"/>
            <w:r w:rsidRPr="00507819">
              <w:rPr>
                <w:rFonts w:cs="Times New Roman"/>
                <w:b/>
                <w:sz w:val="22"/>
              </w:rPr>
              <w:t>Dynamic</w:t>
            </w:r>
            <w:proofErr w:type="spellEnd"/>
            <w:r w:rsidRPr="00507819">
              <w:rPr>
                <w:rFonts w:cs="Times New Roman"/>
                <w:b/>
                <w:sz w:val="22"/>
              </w:rPr>
              <w:t xml:space="preserve"> Gas Group</w:t>
            </w:r>
            <w:r w:rsidR="00566F14" w:rsidRPr="00507819">
              <w:rPr>
                <w:rFonts w:cs="Times New Roman"/>
                <w:b/>
                <w:sz w:val="22"/>
              </w:rPr>
              <w:t>”</w:t>
            </w:r>
          </w:p>
          <w:p w:rsidR="00376237" w:rsidRPr="00507819" w:rsidRDefault="00376237" w:rsidP="00376237">
            <w:pPr>
              <w:rPr>
                <w:rFonts w:cs="Times New Roman"/>
                <w:sz w:val="22"/>
              </w:rPr>
            </w:pPr>
            <w:r w:rsidRPr="00507819">
              <w:rPr>
                <w:rFonts w:cs="Times New Roman"/>
                <w:sz w:val="22"/>
              </w:rPr>
              <w:t>Nr.11 din 27.04.2026</w:t>
            </w:r>
          </w:p>
        </w:tc>
        <w:tc>
          <w:tcPr>
            <w:tcW w:w="834" w:type="dxa"/>
          </w:tcPr>
          <w:p w:rsidR="00376237" w:rsidRPr="00507819" w:rsidRDefault="00376237" w:rsidP="00376237">
            <w:pPr>
              <w:rPr>
                <w:rFonts w:cs="Times New Roman"/>
                <w:b/>
                <w:sz w:val="22"/>
              </w:rPr>
            </w:pPr>
          </w:p>
        </w:tc>
        <w:tc>
          <w:tcPr>
            <w:tcW w:w="7483" w:type="dxa"/>
          </w:tcPr>
          <w:p w:rsidR="00376237" w:rsidRPr="00507819" w:rsidRDefault="00376237" w:rsidP="00376237">
            <w:pPr>
              <w:jc w:val="center"/>
              <w:rPr>
                <w:rFonts w:cs="Times New Roman"/>
                <w:sz w:val="22"/>
              </w:rPr>
            </w:pPr>
            <w:r w:rsidRPr="00507819">
              <w:rPr>
                <w:rFonts w:cs="Times New Roman"/>
                <w:sz w:val="22"/>
              </w:rPr>
              <w:t>Lipsă de obiecții și propuneri</w:t>
            </w:r>
          </w:p>
          <w:p w:rsidR="00376237" w:rsidRPr="00507819" w:rsidRDefault="00376237" w:rsidP="00376237">
            <w:pPr>
              <w:jc w:val="center"/>
              <w:rPr>
                <w:rFonts w:cs="Times New Roman"/>
                <w:sz w:val="22"/>
              </w:rPr>
            </w:pPr>
          </w:p>
        </w:tc>
        <w:tc>
          <w:tcPr>
            <w:tcW w:w="4144" w:type="dxa"/>
          </w:tcPr>
          <w:p w:rsidR="00376237" w:rsidRPr="00507819" w:rsidRDefault="00A45228" w:rsidP="00376237">
            <w:pPr>
              <w:rPr>
                <w:rFonts w:cs="Times New Roman"/>
                <w:b/>
                <w:sz w:val="22"/>
              </w:rPr>
            </w:pPr>
            <w:r w:rsidRPr="00507819">
              <w:rPr>
                <w:rFonts w:cs="Times New Roman"/>
                <w:b/>
                <w:sz w:val="22"/>
              </w:rPr>
              <w:t>Se acceptă.</w:t>
            </w:r>
          </w:p>
        </w:tc>
      </w:tr>
      <w:tr w:rsidR="00A45228" w:rsidRPr="00507819" w:rsidTr="00507819">
        <w:tc>
          <w:tcPr>
            <w:tcW w:w="2263" w:type="dxa"/>
          </w:tcPr>
          <w:p w:rsidR="00A45228" w:rsidRPr="00507819" w:rsidRDefault="00A45228" w:rsidP="00A45228">
            <w:pPr>
              <w:rPr>
                <w:rFonts w:cs="Times New Roman"/>
                <w:b/>
                <w:sz w:val="22"/>
              </w:rPr>
            </w:pPr>
            <w:r w:rsidRPr="00507819">
              <w:rPr>
                <w:rFonts w:cs="Times New Roman"/>
                <w:b/>
                <w:sz w:val="22"/>
              </w:rPr>
              <w:t>„SD Energy Engineering Group” SRL</w:t>
            </w:r>
          </w:p>
          <w:p w:rsidR="00A45228" w:rsidRPr="00507819" w:rsidRDefault="00A45228" w:rsidP="00A45228">
            <w:pPr>
              <w:rPr>
                <w:rFonts w:cs="Times New Roman"/>
                <w:sz w:val="22"/>
              </w:rPr>
            </w:pPr>
            <w:r w:rsidRPr="00507819">
              <w:rPr>
                <w:rFonts w:cs="Times New Roman"/>
                <w:sz w:val="22"/>
              </w:rPr>
              <w:t>nr. 106 din 27.04.2026</w:t>
            </w:r>
          </w:p>
        </w:tc>
        <w:tc>
          <w:tcPr>
            <w:tcW w:w="834" w:type="dxa"/>
          </w:tcPr>
          <w:p w:rsidR="00A45228" w:rsidRPr="00507819" w:rsidRDefault="00A45228" w:rsidP="00A45228">
            <w:pPr>
              <w:rPr>
                <w:rFonts w:cs="Times New Roman"/>
                <w:sz w:val="22"/>
              </w:rPr>
            </w:pPr>
          </w:p>
        </w:tc>
        <w:tc>
          <w:tcPr>
            <w:tcW w:w="7483" w:type="dxa"/>
          </w:tcPr>
          <w:p w:rsidR="00A45228" w:rsidRPr="00507819" w:rsidRDefault="00A45228" w:rsidP="00A45228">
            <w:pPr>
              <w:jc w:val="center"/>
              <w:rPr>
                <w:rFonts w:cs="Times New Roman"/>
                <w:sz w:val="22"/>
              </w:rPr>
            </w:pPr>
            <w:r w:rsidRPr="00507819">
              <w:rPr>
                <w:rFonts w:cs="Times New Roman"/>
                <w:sz w:val="22"/>
              </w:rPr>
              <w:t>Lipsă de obiecții și propuneri</w:t>
            </w:r>
          </w:p>
          <w:p w:rsidR="00A45228" w:rsidRPr="00507819" w:rsidRDefault="00A45228" w:rsidP="00A45228">
            <w:pPr>
              <w:jc w:val="center"/>
              <w:rPr>
                <w:rFonts w:cs="Times New Roman"/>
                <w:sz w:val="22"/>
              </w:rPr>
            </w:pPr>
          </w:p>
        </w:tc>
        <w:tc>
          <w:tcPr>
            <w:tcW w:w="4144" w:type="dxa"/>
          </w:tcPr>
          <w:p w:rsidR="00A45228" w:rsidRPr="00507819" w:rsidRDefault="00A45228" w:rsidP="00A45228">
            <w:pPr>
              <w:rPr>
                <w:rFonts w:cs="Times New Roman"/>
                <w:b/>
                <w:sz w:val="22"/>
              </w:rPr>
            </w:pPr>
            <w:r w:rsidRPr="00507819">
              <w:rPr>
                <w:rFonts w:cs="Times New Roman"/>
                <w:b/>
                <w:sz w:val="22"/>
              </w:rPr>
              <w:t>Se acceptă.</w:t>
            </w:r>
          </w:p>
        </w:tc>
      </w:tr>
      <w:tr w:rsidR="00A45228" w:rsidRPr="00507819" w:rsidTr="00507819">
        <w:tc>
          <w:tcPr>
            <w:tcW w:w="2263" w:type="dxa"/>
          </w:tcPr>
          <w:p w:rsidR="00A45228" w:rsidRPr="00507819" w:rsidRDefault="00507819" w:rsidP="00A45228">
            <w:pPr>
              <w:rPr>
                <w:rFonts w:cs="Times New Roman"/>
                <w:b/>
                <w:sz w:val="22"/>
              </w:rPr>
            </w:pPr>
            <w:bookmarkStart w:id="0" w:name="_GoBack"/>
            <w:bookmarkEnd w:id="0"/>
            <w:r>
              <w:rPr>
                <w:rFonts w:cs="Times New Roman"/>
                <w:b/>
                <w:sz w:val="22"/>
              </w:rPr>
              <w:t>,,</w:t>
            </w:r>
            <w:r w:rsidR="00A45228" w:rsidRPr="00507819">
              <w:rPr>
                <w:rFonts w:cs="Times New Roman"/>
                <w:b/>
                <w:sz w:val="22"/>
              </w:rPr>
              <w:t>Vestmoldtransgaz”</w:t>
            </w:r>
          </w:p>
          <w:p w:rsidR="00A45228" w:rsidRPr="00507819" w:rsidRDefault="00507819" w:rsidP="00A45228">
            <w:pPr>
              <w:rPr>
                <w:rFonts w:cs="Times New Roman"/>
                <w:sz w:val="22"/>
              </w:rPr>
            </w:pPr>
            <w:r w:rsidRPr="00507819">
              <w:rPr>
                <w:rFonts w:cs="Times New Roman"/>
                <w:b/>
                <w:sz w:val="22"/>
              </w:rPr>
              <w:t xml:space="preserve">SRL </w:t>
            </w:r>
            <w:r w:rsidR="00A45228" w:rsidRPr="00507819">
              <w:rPr>
                <w:rFonts w:cs="Times New Roman"/>
                <w:sz w:val="22"/>
              </w:rPr>
              <w:t>Nr. 02-360 din 27.04.2026</w:t>
            </w:r>
          </w:p>
        </w:tc>
        <w:tc>
          <w:tcPr>
            <w:tcW w:w="834" w:type="dxa"/>
          </w:tcPr>
          <w:p w:rsidR="00A45228" w:rsidRPr="00507819" w:rsidRDefault="00A45228" w:rsidP="00A45228">
            <w:pPr>
              <w:rPr>
                <w:rFonts w:cs="Times New Roman"/>
                <w:sz w:val="22"/>
              </w:rPr>
            </w:pPr>
          </w:p>
        </w:tc>
        <w:tc>
          <w:tcPr>
            <w:tcW w:w="7483" w:type="dxa"/>
          </w:tcPr>
          <w:p w:rsidR="00A45228" w:rsidRPr="00507819" w:rsidRDefault="00A45228" w:rsidP="00A45228">
            <w:pPr>
              <w:jc w:val="center"/>
              <w:rPr>
                <w:rFonts w:cs="Times New Roman"/>
                <w:sz w:val="22"/>
              </w:rPr>
            </w:pPr>
            <w:r w:rsidRPr="00507819">
              <w:rPr>
                <w:rFonts w:cs="Times New Roman"/>
                <w:sz w:val="22"/>
              </w:rPr>
              <w:t>Lipsă de obiecții și propuneri</w:t>
            </w:r>
          </w:p>
          <w:p w:rsidR="00A45228" w:rsidRPr="00507819" w:rsidRDefault="00A45228" w:rsidP="00A45228">
            <w:pPr>
              <w:jc w:val="center"/>
              <w:rPr>
                <w:rFonts w:cs="Times New Roman"/>
                <w:sz w:val="22"/>
              </w:rPr>
            </w:pPr>
          </w:p>
        </w:tc>
        <w:tc>
          <w:tcPr>
            <w:tcW w:w="4144" w:type="dxa"/>
          </w:tcPr>
          <w:p w:rsidR="00A45228" w:rsidRPr="00507819" w:rsidRDefault="00A45228" w:rsidP="00A45228">
            <w:pPr>
              <w:rPr>
                <w:rFonts w:cs="Times New Roman"/>
                <w:b/>
                <w:sz w:val="22"/>
              </w:rPr>
            </w:pPr>
            <w:r w:rsidRPr="00507819">
              <w:rPr>
                <w:rFonts w:cs="Times New Roman"/>
                <w:b/>
                <w:sz w:val="22"/>
              </w:rPr>
              <w:t>Se acceptă.</w:t>
            </w:r>
          </w:p>
        </w:tc>
      </w:tr>
      <w:tr w:rsidR="00A45228" w:rsidRPr="00507819" w:rsidTr="00507819">
        <w:tc>
          <w:tcPr>
            <w:tcW w:w="2263" w:type="dxa"/>
          </w:tcPr>
          <w:p w:rsidR="00A45228" w:rsidRPr="00507819" w:rsidRDefault="00A45228" w:rsidP="00A45228">
            <w:pPr>
              <w:rPr>
                <w:rFonts w:cs="Times New Roman"/>
                <w:b/>
                <w:sz w:val="22"/>
              </w:rPr>
            </w:pPr>
            <w:r w:rsidRPr="00507819">
              <w:rPr>
                <w:rFonts w:cs="Times New Roman"/>
                <w:b/>
                <w:sz w:val="22"/>
              </w:rPr>
              <w:t>SA „CET-Nord”</w:t>
            </w:r>
          </w:p>
          <w:p w:rsidR="00A45228" w:rsidRPr="00507819" w:rsidRDefault="00A45228" w:rsidP="00A45228">
            <w:pPr>
              <w:rPr>
                <w:rFonts w:cs="Times New Roman"/>
                <w:sz w:val="22"/>
              </w:rPr>
            </w:pPr>
            <w:r w:rsidRPr="00507819">
              <w:rPr>
                <w:rFonts w:cs="Times New Roman"/>
                <w:sz w:val="22"/>
              </w:rPr>
              <w:t>Nr. 227-08/0559 din 27.04.2026</w:t>
            </w:r>
          </w:p>
        </w:tc>
        <w:tc>
          <w:tcPr>
            <w:tcW w:w="834" w:type="dxa"/>
          </w:tcPr>
          <w:p w:rsidR="00A45228" w:rsidRPr="00507819" w:rsidRDefault="00A45228" w:rsidP="00A45228">
            <w:pPr>
              <w:rPr>
                <w:rFonts w:cs="Times New Roman"/>
                <w:sz w:val="22"/>
              </w:rPr>
            </w:pPr>
          </w:p>
        </w:tc>
        <w:tc>
          <w:tcPr>
            <w:tcW w:w="7483" w:type="dxa"/>
          </w:tcPr>
          <w:p w:rsidR="00A45228" w:rsidRPr="00507819" w:rsidRDefault="00A45228" w:rsidP="00A45228">
            <w:pPr>
              <w:pStyle w:val="NoSpacing"/>
              <w:jc w:val="center"/>
              <w:rPr>
                <w:rFonts w:cs="Times New Roman"/>
                <w:sz w:val="22"/>
              </w:rPr>
            </w:pPr>
            <w:r w:rsidRPr="00507819">
              <w:rPr>
                <w:rFonts w:cs="Times New Roman"/>
                <w:sz w:val="22"/>
              </w:rPr>
              <w:t>Lipsă de obiecții și propuneri</w:t>
            </w:r>
          </w:p>
          <w:p w:rsidR="00A45228" w:rsidRPr="00507819" w:rsidRDefault="00A45228" w:rsidP="00A45228">
            <w:pPr>
              <w:pStyle w:val="NoSpacing"/>
              <w:jc w:val="center"/>
              <w:rPr>
                <w:sz w:val="22"/>
              </w:rPr>
            </w:pPr>
          </w:p>
        </w:tc>
        <w:tc>
          <w:tcPr>
            <w:tcW w:w="4144" w:type="dxa"/>
          </w:tcPr>
          <w:p w:rsidR="00A45228" w:rsidRPr="00507819" w:rsidRDefault="00A45228" w:rsidP="00A45228">
            <w:pPr>
              <w:rPr>
                <w:rFonts w:cs="Times New Roman"/>
                <w:b/>
                <w:sz w:val="22"/>
              </w:rPr>
            </w:pPr>
            <w:r w:rsidRPr="00507819">
              <w:rPr>
                <w:rFonts w:cs="Times New Roman"/>
                <w:b/>
                <w:sz w:val="22"/>
              </w:rPr>
              <w:t>Se acceptă.</w:t>
            </w:r>
          </w:p>
        </w:tc>
      </w:tr>
      <w:tr w:rsidR="00282910" w:rsidRPr="00507819" w:rsidTr="00507819">
        <w:tc>
          <w:tcPr>
            <w:tcW w:w="2263" w:type="dxa"/>
          </w:tcPr>
          <w:p w:rsidR="00282910" w:rsidRPr="00507819" w:rsidRDefault="00282910" w:rsidP="00A45228">
            <w:pPr>
              <w:rPr>
                <w:rFonts w:cs="Times New Roman"/>
                <w:b/>
                <w:sz w:val="22"/>
              </w:rPr>
            </w:pPr>
            <w:r w:rsidRPr="00507819">
              <w:rPr>
                <w:rFonts w:cs="Times New Roman"/>
                <w:b/>
                <w:sz w:val="22"/>
              </w:rPr>
              <w:t>SA „Energocom</w:t>
            </w:r>
            <w:r w:rsidR="00136DEF" w:rsidRPr="00507819">
              <w:rPr>
                <w:rFonts w:cs="Times New Roman"/>
                <w:b/>
                <w:sz w:val="22"/>
              </w:rPr>
              <w:t xml:space="preserve"> </w:t>
            </w:r>
            <w:r w:rsidRPr="00507819">
              <w:rPr>
                <w:rFonts w:cs="Times New Roman"/>
                <w:b/>
                <w:sz w:val="22"/>
              </w:rPr>
              <w:t>Trading”</w:t>
            </w:r>
          </w:p>
        </w:tc>
        <w:tc>
          <w:tcPr>
            <w:tcW w:w="834" w:type="dxa"/>
          </w:tcPr>
          <w:p w:rsidR="00282910" w:rsidRPr="00507819" w:rsidRDefault="00282910" w:rsidP="00A45228">
            <w:pPr>
              <w:rPr>
                <w:rFonts w:cs="Times New Roman"/>
                <w:sz w:val="22"/>
              </w:rPr>
            </w:pPr>
          </w:p>
        </w:tc>
        <w:tc>
          <w:tcPr>
            <w:tcW w:w="7483" w:type="dxa"/>
          </w:tcPr>
          <w:p w:rsidR="00282910" w:rsidRPr="00507819" w:rsidRDefault="00282910" w:rsidP="00282910">
            <w:pPr>
              <w:pStyle w:val="NoSpacing"/>
              <w:jc w:val="center"/>
              <w:rPr>
                <w:rFonts w:cs="Times New Roman"/>
                <w:sz w:val="22"/>
              </w:rPr>
            </w:pPr>
            <w:r w:rsidRPr="00507819">
              <w:rPr>
                <w:rFonts w:cs="Times New Roman"/>
                <w:sz w:val="22"/>
              </w:rPr>
              <w:t>Lipsă de obiecții și propuneri</w:t>
            </w:r>
          </w:p>
          <w:p w:rsidR="00282910" w:rsidRPr="00507819" w:rsidRDefault="00282910" w:rsidP="00A45228">
            <w:pPr>
              <w:pStyle w:val="NoSpacing"/>
              <w:jc w:val="center"/>
              <w:rPr>
                <w:rFonts w:cs="Times New Roman"/>
                <w:sz w:val="22"/>
              </w:rPr>
            </w:pPr>
          </w:p>
        </w:tc>
        <w:tc>
          <w:tcPr>
            <w:tcW w:w="4144" w:type="dxa"/>
          </w:tcPr>
          <w:p w:rsidR="00282910" w:rsidRPr="00507819" w:rsidRDefault="00562500" w:rsidP="00A45228">
            <w:pPr>
              <w:rPr>
                <w:rFonts w:cs="Times New Roman"/>
                <w:b/>
                <w:sz w:val="22"/>
              </w:rPr>
            </w:pPr>
            <w:r w:rsidRPr="00507819">
              <w:rPr>
                <w:rFonts w:cs="Times New Roman"/>
                <w:b/>
                <w:sz w:val="22"/>
              </w:rPr>
              <w:t>Se acceptă</w:t>
            </w:r>
          </w:p>
        </w:tc>
      </w:tr>
      <w:tr w:rsidR="00471B48" w:rsidRPr="00507819" w:rsidTr="00507819">
        <w:tc>
          <w:tcPr>
            <w:tcW w:w="2263" w:type="dxa"/>
          </w:tcPr>
          <w:p w:rsidR="00471B48" w:rsidRPr="00507819" w:rsidRDefault="00471B48" w:rsidP="00471B48">
            <w:pPr>
              <w:rPr>
                <w:rFonts w:cs="Times New Roman"/>
                <w:b/>
                <w:sz w:val="22"/>
              </w:rPr>
            </w:pPr>
            <w:r w:rsidRPr="00507819">
              <w:rPr>
                <w:rFonts w:cs="Times New Roman"/>
                <w:b/>
                <w:sz w:val="22"/>
              </w:rPr>
              <w:t>Consiliul Concurenței</w:t>
            </w:r>
          </w:p>
        </w:tc>
        <w:tc>
          <w:tcPr>
            <w:tcW w:w="834" w:type="dxa"/>
          </w:tcPr>
          <w:p w:rsidR="00471B48" w:rsidRPr="00507819" w:rsidRDefault="00471B48" w:rsidP="00471B48">
            <w:pPr>
              <w:rPr>
                <w:rFonts w:cs="Times New Roman"/>
                <w:sz w:val="22"/>
              </w:rPr>
            </w:pPr>
          </w:p>
        </w:tc>
        <w:tc>
          <w:tcPr>
            <w:tcW w:w="7483" w:type="dxa"/>
          </w:tcPr>
          <w:p w:rsidR="00471B48" w:rsidRPr="00507819" w:rsidRDefault="00471B48" w:rsidP="00471B48">
            <w:pPr>
              <w:pStyle w:val="NoSpacing"/>
              <w:jc w:val="center"/>
              <w:rPr>
                <w:rFonts w:cs="Times New Roman"/>
                <w:sz w:val="22"/>
              </w:rPr>
            </w:pPr>
            <w:r w:rsidRPr="00507819">
              <w:rPr>
                <w:rFonts w:cs="Times New Roman"/>
                <w:sz w:val="22"/>
              </w:rPr>
              <w:t>Lipsă de obiecții și propuneri</w:t>
            </w:r>
          </w:p>
          <w:p w:rsidR="00471B48" w:rsidRPr="00507819" w:rsidRDefault="00471B48" w:rsidP="00471B48">
            <w:pPr>
              <w:pStyle w:val="NoSpacing"/>
              <w:jc w:val="center"/>
              <w:rPr>
                <w:rFonts w:cs="Times New Roman"/>
                <w:sz w:val="22"/>
              </w:rPr>
            </w:pPr>
          </w:p>
        </w:tc>
        <w:tc>
          <w:tcPr>
            <w:tcW w:w="4144" w:type="dxa"/>
          </w:tcPr>
          <w:p w:rsidR="00471B48" w:rsidRPr="00507819" w:rsidRDefault="00471B48" w:rsidP="00471B48">
            <w:pPr>
              <w:rPr>
                <w:rFonts w:cs="Times New Roman"/>
                <w:b/>
                <w:sz w:val="22"/>
              </w:rPr>
            </w:pPr>
            <w:r w:rsidRPr="00507819">
              <w:rPr>
                <w:rFonts w:cs="Times New Roman"/>
                <w:b/>
                <w:sz w:val="22"/>
              </w:rPr>
              <w:t>Se acceptă</w:t>
            </w:r>
          </w:p>
        </w:tc>
      </w:tr>
    </w:tbl>
    <w:p w:rsidR="00C419F2" w:rsidRPr="00507819" w:rsidRDefault="00C419F2" w:rsidP="00900E0E">
      <w:pPr>
        <w:rPr>
          <w:rFonts w:cs="Times New Roman"/>
          <w:sz w:val="22"/>
        </w:rPr>
      </w:pPr>
    </w:p>
    <w:sectPr w:rsidR="00C419F2" w:rsidRPr="00507819" w:rsidSect="00C419F2">
      <w:pgSz w:w="16838" w:h="11906" w:orient="landscape" w:code="9"/>
      <w:pgMar w:top="630"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BD1504"/>
    <w:multiLevelType w:val="hybridMultilevel"/>
    <w:tmpl w:val="E04443E2"/>
    <w:lvl w:ilvl="0" w:tplc="C66A79C0">
      <w:start w:val="1"/>
      <w:numFmt w:val="bullet"/>
      <w:lvlText w:val="•"/>
      <w:lvlJc w:val="left"/>
      <w:pPr>
        <w:ind w:left="2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D889DE">
      <w:start w:val="1"/>
      <w:numFmt w:val="bullet"/>
      <w:lvlText w:val="o"/>
      <w:lvlJc w:val="left"/>
      <w:pPr>
        <w:ind w:left="1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4077D4">
      <w:start w:val="1"/>
      <w:numFmt w:val="bullet"/>
      <w:lvlText w:val="▪"/>
      <w:lvlJc w:val="left"/>
      <w:pPr>
        <w:ind w:left="2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2D6B9B0">
      <w:start w:val="1"/>
      <w:numFmt w:val="bullet"/>
      <w:lvlText w:val="•"/>
      <w:lvlJc w:val="left"/>
      <w:pPr>
        <w:ind w:left="3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4722CF2">
      <w:start w:val="1"/>
      <w:numFmt w:val="bullet"/>
      <w:lvlText w:val="o"/>
      <w:lvlJc w:val="left"/>
      <w:pPr>
        <w:ind w:left="3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080314">
      <w:start w:val="1"/>
      <w:numFmt w:val="bullet"/>
      <w:lvlText w:val="▪"/>
      <w:lvlJc w:val="left"/>
      <w:pPr>
        <w:ind w:left="4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026994">
      <w:start w:val="1"/>
      <w:numFmt w:val="bullet"/>
      <w:lvlText w:val="•"/>
      <w:lvlJc w:val="left"/>
      <w:pPr>
        <w:ind w:left="5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02E56E">
      <w:start w:val="1"/>
      <w:numFmt w:val="bullet"/>
      <w:lvlText w:val="o"/>
      <w:lvlJc w:val="left"/>
      <w:pPr>
        <w:ind w:left="6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44AEC6A">
      <w:start w:val="1"/>
      <w:numFmt w:val="bullet"/>
      <w:lvlText w:val="▪"/>
      <w:lvlJc w:val="left"/>
      <w:pPr>
        <w:ind w:left="6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922FCD"/>
    <w:multiLevelType w:val="hybridMultilevel"/>
    <w:tmpl w:val="F61E6D70"/>
    <w:lvl w:ilvl="0" w:tplc="02E2FADC">
      <w:start w:val="1"/>
      <w:numFmt w:val="bullet"/>
      <w:lvlText w:val="-"/>
      <w:lvlJc w:val="left"/>
      <w:pPr>
        <w:ind w:left="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FB6CB6A">
      <w:start w:val="1"/>
      <w:numFmt w:val="bullet"/>
      <w:lvlText w:val="o"/>
      <w:lvlJc w:val="left"/>
      <w:pPr>
        <w:ind w:left="16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D8C3E92">
      <w:start w:val="1"/>
      <w:numFmt w:val="bullet"/>
      <w:lvlText w:val="▪"/>
      <w:lvlJc w:val="left"/>
      <w:pPr>
        <w:ind w:left="23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049D5C">
      <w:start w:val="1"/>
      <w:numFmt w:val="bullet"/>
      <w:lvlText w:val="•"/>
      <w:lvlJc w:val="left"/>
      <w:pPr>
        <w:ind w:left="30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AC032C4">
      <w:start w:val="1"/>
      <w:numFmt w:val="bullet"/>
      <w:lvlText w:val="o"/>
      <w:lvlJc w:val="left"/>
      <w:pPr>
        <w:ind w:left="38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79246B0">
      <w:start w:val="1"/>
      <w:numFmt w:val="bullet"/>
      <w:lvlText w:val="▪"/>
      <w:lvlJc w:val="left"/>
      <w:pPr>
        <w:ind w:left="45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3A57A8">
      <w:start w:val="1"/>
      <w:numFmt w:val="bullet"/>
      <w:lvlText w:val="•"/>
      <w:lvlJc w:val="left"/>
      <w:pPr>
        <w:ind w:left="52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028B33C">
      <w:start w:val="1"/>
      <w:numFmt w:val="bullet"/>
      <w:lvlText w:val="o"/>
      <w:lvlJc w:val="left"/>
      <w:pPr>
        <w:ind w:left="59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9BE7B48">
      <w:start w:val="1"/>
      <w:numFmt w:val="bullet"/>
      <w:lvlText w:val="▪"/>
      <w:lvlJc w:val="left"/>
      <w:pPr>
        <w:ind w:left="66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5A3792C"/>
    <w:multiLevelType w:val="hybridMultilevel"/>
    <w:tmpl w:val="69B4B38C"/>
    <w:lvl w:ilvl="0" w:tplc="318C591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1F086A"/>
    <w:multiLevelType w:val="hybridMultilevel"/>
    <w:tmpl w:val="8CC29028"/>
    <w:lvl w:ilvl="0" w:tplc="C2B29728">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F71406"/>
    <w:multiLevelType w:val="hybridMultilevel"/>
    <w:tmpl w:val="CBF06C2E"/>
    <w:lvl w:ilvl="0" w:tplc="8A240CF4">
      <w:start w:val="1"/>
      <w:numFmt w:val="bullet"/>
      <w:lvlText w:val="-"/>
      <w:lvlJc w:val="left"/>
      <w:pPr>
        <w:ind w:left="20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8268280">
      <w:start w:val="1"/>
      <w:numFmt w:val="bullet"/>
      <w:lvlText w:val="o"/>
      <w:lvlJc w:val="left"/>
      <w:pPr>
        <w:ind w:left="16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2B01576">
      <w:start w:val="1"/>
      <w:numFmt w:val="bullet"/>
      <w:lvlText w:val="▪"/>
      <w:lvlJc w:val="left"/>
      <w:pPr>
        <w:ind w:left="23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D52462A4">
      <w:start w:val="1"/>
      <w:numFmt w:val="bullet"/>
      <w:lvlText w:val="•"/>
      <w:lvlJc w:val="left"/>
      <w:pPr>
        <w:ind w:left="30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F8209D8">
      <w:start w:val="1"/>
      <w:numFmt w:val="bullet"/>
      <w:lvlText w:val="o"/>
      <w:lvlJc w:val="left"/>
      <w:pPr>
        <w:ind w:left="379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2C20202">
      <w:start w:val="1"/>
      <w:numFmt w:val="bullet"/>
      <w:lvlText w:val="▪"/>
      <w:lvlJc w:val="left"/>
      <w:pPr>
        <w:ind w:left="451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0C8A04A">
      <w:start w:val="1"/>
      <w:numFmt w:val="bullet"/>
      <w:lvlText w:val="•"/>
      <w:lvlJc w:val="left"/>
      <w:pPr>
        <w:ind w:left="52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7EA107C">
      <w:start w:val="1"/>
      <w:numFmt w:val="bullet"/>
      <w:lvlText w:val="o"/>
      <w:lvlJc w:val="left"/>
      <w:pPr>
        <w:ind w:left="595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C58CAA6">
      <w:start w:val="1"/>
      <w:numFmt w:val="bullet"/>
      <w:lvlText w:val="▪"/>
      <w:lvlJc w:val="left"/>
      <w:pPr>
        <w:ind w:left="667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51D"/>
    <w:rsid w:val="000007C5"/>
    <w:rsid w:val="00001BBE"/>
    <w:rsid w:val="00003D21"/>
    <w:rsid w:val="00010880"/>
    <w:rsid w:val="000365A5"/>
    <w:rsid w:val="0006554F"/>
    <w:rsid w:val="0007493A"/>
    <w:rsid w:val="000910AF"/>
    <w:rsid w:val="00091F88"/>
    <w:rsid w:val="00097EBD"/>
    <w:rsid w:val="000A1CFA"/>
    <w:rsid w:val="000B54BC"/>
    <w:rsid w:val="000C0D1F"/>
    <w:rsid w:val="000C2246"/>
    <w:rsid w:val="000E0A85"/>
    <w:rsid w:val="000F5AEA"/>
    <w:rsid w:val="00124594"/>
    <w:rsid w:val="00136DEF"/>
    <w:rsid w:val="00136ED2"/>
    <w:rsid w:val="0013778C"/>
    <w:rsid w:val="00171460"/>
    <w:rsid w:val="00184CB1"/>
    <w:rsid w:val="001A5C6A"/>
    <w:rsid w:val="001B7424"/>
    <w:rsid w:val="001C2A6C"/>
    <w:rsid w:val="001C5175"/>
    <w:rsid w:val="001C7225"/>
    <w:rsid w:val="001E1CD2"/>
    <w:rsid w:val="001F4EE9"/>
    <w:rsid w:val="0024526F"/>
    <w:rsid w:val="00266241"/>
    <w:rsid w:val="002668D1"/>
    <w:rsid w:val="002725B2"/>
    <w:rsid w:val="00282910"/>
    <w:rsid w:val="00294535"/>
    <w:rsid w:val="002B19AB"/>
    <w:rsid w:val="002B4B05"/>
    <w:rsid w:val="002B5B19"/>
    <w:rsid w:val="002B6781"/>
    <w:rsid w:val="002C2696"/>
    <w:rsid w:val="002D00CC"/>
    <w:rsid w:val="002E12CA"/>
    <w:rsid w:val="002E619D"/>
    <w:rsid w:val="00302B7F"/>
    <w:rsid w:val="0031105D"/>
    <w:rsid w:val="00313703"/>
    <w:rsid w:val="003216FF"/>
    <w:rsid w:val="00332948"/>
    <w:rsid w:val="0034263A"/>
    <w:rsid w:val="0035037A"/>
    <w:rsid w:val="0036425D"/>
    <w:rsid w:val="00371DBD"/>
    <w:rsid w:val="003757B3"/>
    <w:rsid w:val="00376237"/>
    <w:rsid w:val="00383498"/>
    <w:rsid w:val="00391286"/>
    <w:rsid w:val="003A3CB8"/>
    <w:rsid w:val="003A4140"/>
    <w:rsid w:val="003A6460"/>
    <w:rsid w:val="003A6B9E"/>
    <w:rsid w:val="003C0343"/>
    <w:rsid w:val="003C7B3B"/>
    <w:rsid w:val="003E6922"/>
    <w:rsid w:val="0040086D"/>
    <w:rsid w:val="0040225D"/>
    <w:rsid w:val="00434CA4"/>
    <w:rsid w:val="004517C7"/>
    <w:rsid w:val="00465FBC"/>
    <w:rsid w:val="00471B48"/>
    <w:rsid w:val="00474E7E"/>
    <w:rsid w:val="00477819"/>
    <w:rsid w:val="00480F94"/>
    <w:rsid w:val="00483E8F"/>
    <w:rsid w:val="00484D4A"/>
    <w:rsid w:val="00490913"/>
    <w:rsid w:val="00491F17"/>
    <w:rsid w:val="004B7031"/>
    <w:rsid w:val="004C02BA"/>
    <w:rsid w:val="004C45CB"/>
    <w:rsid w:val="004D59F4"/>
    <w:rsid w:val="004D69E8"/>
    <w:rsid w:val="004E005C"/>
    <w:rsid w:val="00507819"/>
    <w:rsid w:val="00544E89"/>
    <w:rsid w:val="0055009D"/>
    <w:rsid w:val="005512C2"/>
    <w:rsid w:val="005540EE"/>
    <w:rsid w:val="00556EBE"/>
    <w:rsid w:val="0056186F"/>
    <w:rsid w:val="00562500"/>
    <w:rsid w:val="005663BE"/>
    <w:rsid w:val="00566F14"/>
    <w:rsid w:val="00580DDD"/>
    <w:rsid w:val="005A019E"/>
    <w:rsid w:val="005A30B0"/>
    <w:rsid w:val="005C0407"/>
    <w:rsid w:val="005D76D4"/>
    <w:rsid w:val="005E75C7"/>
    <w:rsid w:val="005F195E"/>
    <w:rsid w:val="005F719A"/>
    <w:rsid w:val="005F74A7"/>
    <w:rsid w:val="00612582"/>
    <w:rsid w:val="00616F5F"/>
    <w:rsid w:val="00634F8E"/>
    <w:rsid w:val="00640309"/>
    <w:rsid w:val="00641E82"/>
    <w:rsid w:val="006563EC"/>
    <w:rsid w:val="00670359"/>
    <w:rsid w:val="00672E96"/>
    <w:rsid w:val="006758DE"/>
    <w:rsid w:val="00677522"/>
    <w:rsid w:val="006964A7"/>
    <w:rsid w:val="0069679F"/>
    <w:rsid w:val="006A241F"/>
    <w:rsid w:val="006B2E9B"/>
    <w:rsid w:val="006C0B77"/>
    <w:rsid w:val="006F0357"/>
    <w:rsid w:val="006F4098"/>
    <w:rsid w:val="006F5576"/>
    <w:rsid w:val="00711DCA"/>
    <w:rsid w:val="0071492B"/>
    <w:rsid w:val="00715B7E"/>
    <w:rsid w:val="00716DFC"/>
    <w:rsid w:val="00733218"/>
    <w:rsid w:val="00734496"/>
    <w:rsid w:val="007557C7"/>
    <w:rsid w:val="00764DEA"/>
    <w:rsid w:val="0077552E"/>
    <w:rsid w:val="007820EC"/>
    <w:rsid w:val="00783D87"/>
    <w:rsid w:val="007A4699"/>
    <w:rsid w:val="007A4887"/>
    <w:rsid w:val="007C7EF8"/>
    <w:rsid w:val="007D2143"/>
    <w:rsid w:val="0082390B"/>
    <w:rsid w:val="008242FF"/>
    <w:rsid w:val="00833250"/>
    <w:rsid w:val="00833378"/>
    <w:rsid w:val="0084743A"/>
    <w:rsid w:val="008509D5"/>
    <w:rsid w:val="0085251D"/>
    <w:rsid w:val="00852B5B"/>
    <w:rsid w:val="00866DF6"/>
    <w:rsid w:val="00870751"/>
    <w:rsid w:val="008A0D73"/>
    <w:rsid w:val="008A31C7"/>
    <w:rsid w:val="008B5490"/>
    <w:rsid w:val="008B7D6F"/>
    <w:rsid w:val="008C2F31"/>
    <w:rsid w:val="008D6F13"/>
    <w:rsid w:val="008E08AC"/>
    <w:rsid w:val="008F01B2"/>
    <w:rsid w:val="008F42BB"/>
    <w:rsid w:val="00900E0E"/>
    <w:rsid w:val="00922C48"/>
    <w:rsid w:val="00953C98"/>
    <w:rsid w:val="009713C7"/>
    <w:rsid w:val="00996648"/>
    <w:rsid w:val="009C520F"/>
    <w:rsid w:val="009D03FE"/>
    <w:rsid w:val="009D3FF7"/>
    <w:rsid w:val="009E0127"/>
    <w:rsid w:val="009E17A9"/>
    <w:rsid w:val="009F489F"/>
    <w:rsid w:val="009F7D9E"/>
    <w:rsid w:val="00A06637"/>
    <w:rsid w:val="00A11EB1"/>
    <w:rsid w:val="00A2155C"/>
    <w:rsid w:val="00A45228"/>
    <w:rsid w:val="00A54595"/>
    <w:rsid w:val="00A55CED"/>
    <w:rsid w:val="00A56CA0"/>
    <w:rsid w:val="00A60341"/>
    <w:rsid w:val="00A64021"/>
    <w:rsid w:val="00A67D50"/>
    <w:rsid w:val="00A7682C"/>
    <w:rsid w:val="00A81229"/>
    <w:rsid w:val="00A903CA"/>
    <w:rsid w:val="00A91946"/>
    <w:rsid w:val="00AA7337"/>
    <w:rsid w:val="00AD1D20"/>
    <w:rsid w:val="00AD5735"/>
    <w:rsid w:val="00AF4A1F"/>
    <w:rsid w:val="00AF74BE"/>
    <w:rsid w:val="00B145B5"/>
    <w:rsid w:val="00B40696"/>
    <w:rsid w:val="00B44571"/>
    <w:rsid w:val="00B45A35"/>
    <w:rsid w:val="00B55DBC"/>
    <w:rsid w:val="00B608DF"/>
    <w:rsid w:val="00B64BAD"/>
    <w:rsid w:val="00B7061E"/>
    <w:rsid w:val="00B70E2A"/>
    <w:rsid w:val="00B76275"/>
    <w:rsid w:val="00B77141"/>
    <w:rsid w:val="00B80875"/>
    <w:rsid w:val="00B86E64"/>
    <w:rsid w:val="00B915B7"/>
    <w:rsid w:val="00BC2EED"/>
    <w:rsid w:val="00BD1216"/>
    <w:rsid w:val="00BE0943"/>
    <w:rsid w:val="00BE63EE"/>
    <w:rsid w:val="00BF550D"/>
    <w:rsid w:val="00C21F3E"/>
    <w:rsid w:val="00C258CC"/>
    <w:rsid w:val="00C419F2"/>
    <w:rsid w:val="00C439A6"/>
    <w:rsid w:val="00C46FF4"/>
    <w:rsid w:val="00C513D9"/>
    <w:rsid w:val="00C73262"/>
    <w:rsid w:val="00C878C0"/>
    <w:rsid w:val="00C87F4A"/>
    <w:rsid w:val="00CD0AA1"/>
    <w:rsid w:val="00CD2E0E"/>
    <w:rsid w:val="00CD34F9"/>
    <w:rsid w:val="00CD5F4D"/>
    <w:rsid w:val="00CE73BC"/>
    <w:rsid w:val="00CF1178"/>
    <w:rsid w:val="00CF1A79"/>
    <w:rsid w:val="00CF4124"/>
    <w:rsid w:val="00D02261"/>
    <w:rsid w:val="00D0453B"/>
    <w:rsid w:val="00D232E5"/>
    <w:rsid w:val="00D31FD6"/>
    <w:rsid w:val="00D44968"/>
    <w:rsid w:val="00D53487"/>
    <w:rsid w:val="00D6390E"/>
    <w:rsid w:val="00D646E2"/>
    <w:rsid w:val="00D70167"/>
    <w:rsid w:val="00D70E74"/>
    <w:rsid w:val="00D96508"/>
    <w:rsid w:val="00DA028E"/>
    <w:rsid w:val="00DA02CF"/>
    <w:rsid w:val="00DB1054"/>
    <w:rsid w:val="00DB17E5"/>
    <w:rsid w:val="00DB25F1"/>
    <w:rsid w:val="00DB30E0"/>
    <w:rsid w:val="00DC0175"/>
    <w:rsid w:val="00DD7A69"/>
    <w:rsid w:val="00DE0544"/>
    <w:rsid w:val="00DE29A1"/>
    <w:rsid w:val="00DE6F78"/>
    <w:rsid w:val="00DF3C25"/>
    <w:rsid w:val="00DF7506"/>
    <w:rsid w:val="00E06485"/>
    <w:rsid w:val="00E22E67"/>
    <w:rsid w:val="00E2378E"/>
    <w:rsid w:val="00E30710"/>
    <w:rsid w:val="00E32F26"/>
    <w:rsid w:val="00E33BAD"/>
    <w:rsid w:val="00E36A5D"/>
    <w:rsid w:val="00E45F29"/>
    <w:rsid w:val="00E75F9C"/>
    <w:rsid w:val="00E96EF9"/>
    <w:rsid w:val="00EA59DF"/>
    <w:rsid w:val="00EB3622"/>
    <w:rsid w:val="00ED4A8F"/>
    <w:rsid w:val="00EE27BA"/>
    <w:rsid w:val="00EE4070"/>
    <w:rsid w:val="00EF5B22"/>
    <w:rsid w:val="00EF78D2"/>
    <w:rsid w:val="00F12C76"/>
    <w:rsid w:val="00F156CE"/>
    <w:rsid w:val="00F1789A"/>
    <w:rsid w:val="00F22969"/>
    <w:rsid w:val="00F236A0"/>
    <w:rsid w:val="00F30D7E"/>
    <w:rsid w:val="00F311B5"/>
    <w:rsid w:val="00F32348"/>
    <w:rsid w:val="00F33089"/>
    <w:rsid w:val="00F64B23"/>
    <w:rsid w:val="00F94AC2"/>
    <w:rsid w:val="00FA0600"/>
    <w:rsid w:val="00FB02A8"/>
    <w:rsid w:val="00FB02C5"/>
    <w:rsid w:val="00FD68ED"/>
    <w:rsid w:val="00FF57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10B71"/>
  <w15:chartTrackingRefBased/>
  <w15:docId w15:val="{45012AF0-24EF-4AF7-B840-CFBF9C3F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15B7"/>
    <w:pPr>
      <w:spacing w:line="240" w:lineRule="auto"/>
    </w:pPr>
    <w:rPr>
      <w:rFonts w:ascii="Times New Roman" w:hAnsi="Times New Roman"/>
      <w:sz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4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A3CB8"/>
    <w:pPr>
      <w:spacing w:after="0" w:line="240" w:lineRule="auto"/>
    </w:pPr>
    <w:rPr>
      <w:rFonts w:ascii="Times New Roman" w:hAnsi="Times New Roman"/>
      <w:sz w:val="28"/>
      <w:lang w:val="ro-RO"/>
    </w:rPr>
  </w:style>
  <w:style w:type="character" w:customStyle="1" w:styleId="NormalWebChar">
    <w:name w:val="Normal (Web) Char"/>
    <w:aliases w:val="Знак Char,webb Char, Знак Char"/>
    <w:link w:val="NormalWeb"/>
    <w:locked/>
    <w:rsid w:val="006F0357"/>
    <w:rPr>
      <w:rFonts w:ascii="Times New Roman" w:eastAsiaTheme="minorEastAsia" w:hAnsi="Times New Roman" w:cs="Times New Roman" w:hint="default"/>
      <w:sz w:val="24"/>
      <w:szCs w:val="24"/>
    </w:rPr>
  </w:style>
  <w:style w:type="paragraph" w:styleId="NormalWeb">
    <w:name w:val="Normal (Web)"/>
    <w:aliases w:val="Знак,webb, Знак"/>
    <w:basedOn w:val="Normal"/>
    <w:link w:val="NormalWebChar"/>
    <w:uiPriority w:val="99"/>
    <w:unhideWhenUsed/>
    <w:qFormat/>
    <w:rsid w:val="006F0357"/>
    <w:pPr>
      <w:spacing w:after="0"/>
      <w:ind w:firstLine="567"/>
      <w:jc w:val="both"/>
    </w:pPr>
    <w:rPr>
      <w:rFonts w:eastAsiaTheme="minorEastAsia" w:cs="Times New Roman"/>
      <w:sz w:val="24"/>
      <w:szCs w:val="24"/>
      <w:lang w:val="ru-RU"/>
    </w:rPr>
  </w:style>
  <w:style w:type="character" w:styleId="Strong">
    <w:name w:val="Strong"/>
    <w:basedOn w:val="DefaultParagraphFont"/>
    <w:uiPriority w:val="22"/>
    <w:qFormat/>
    <w:rsid w:val="006F0357"/>
    <w:rPr>
      <w:b/>
      <w:bCs/>
    </w:rPr>
  </w:style>
  <w:style w:type="character" w:styleId="Hyperlink">
    <w:name w:val="Hyperlink"/>
    <w:basedOn w:val="DefaultParagraphFont"/>
    <w:uiPriority w:val="99"/>
    <w:unhideWhenUsed/>
    <w:rsid w:val="006F0357"/>
    <w:rPr>
      <w:color w:val="0000FF"/>
      <w:u w:val="single"/>
    </w:rPr>
  </w:style>
  <w:style w:type="paragraph" w:styleId="ListParagraph">
    <w:name w:val="List Paragraph"/>
    <w:aliases w:val="List Paragraph 1,Scriptoria bullet points,Bullet List,FooterText,Colorful List Accent 1,numbered,Paragraphe de liste1,列出段落,列出段落1,Bulletr List Paragraph,List Paragraph2,List Paragraph21,Párrafo de lista1,Parágrafo da Lista1"/>
    <w:basedOn w:val="Normal"/>
    <w:link w:val="ListParagraphChar"/>
    <w:uiPriority w:val="34"/>
    <w:qFormat/>
    <w:rsid w:val="006F0357"/>
    <w:pPr>
      <w:spacing w:line="259" w:lineRule="auto"/>
      <w:ind w:left="720"/>
      <w:contextualSpacing/>
    </w:pPr>
    <w:rPr>
      <w:rFonts w:ascii="Calibri" w:eastAsia="Calibri" w:hAnsi="Calibri" w:cs="Arial"/>
      <w:sz w:val="22"/>
      <w:lang w:val="ro"/>
    </w:rPr>
  </w:style>
  <w:style w:type="character" w:customStyle="1" w:styleId="ListParagraphChar">
    <w:name w:val="List Paragraph Char"/>
    <w:aliases w:val="List Paragraph 1 Char,Scriptoria bullet points Char,Bullet List Char,FooterText Char,Colorful List Accent 1 Char,numbered Char,Paragraphe de liste1 Char,列出段落 Char,列出段落1 Char,Bulletr List Paragraph Char,List Paragraph2 Char"/>
    <w:link w:val="ListParagraph"/>
    <w:uiPriority w:val="34"/>
    <w:rsid w:val="006F0357"/>
    <w:rPr>
      <w:rFonts w:ascii="Calibri" w:eastAsia="Calibri" w:hAnsi="Calibri" w:cs="Arial"/>
      <w:lang w:val="ro"/>
    </w:rPr>
  </w:style>
  <w:style w:type="paragraph" w:styleId="BalloonText">
    <w:name w:val="Balloon Text"/>
    <w:basedOn w:val="Normal"/>
    <w:link w:val="BalloonTextChar"/>
    <w:uiPriority w:val="99"/>
    <w:semiHidden/>
    <w:unhideWhenUsed/>
    <w:rsid w:val="005E75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5C7"/>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769</TotalTime>
  <Pages>3</Pages>
  <Words>1388</Words>
  <Characters>7917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Vasiliev Denis</dc:creator>
  <cp:keywords/>
  <dc:description/>
  <cp:lastModifiedBy>Elena Indries</cp:lastModifiedBy>
  <cp:revision>250</cp:revision>
  <cp:lastPrinted>2026-04-28T05:12:00Z</cp:lastPrinted>
  <dcterms:created xsi:type="dcterms:W3CDTF">2025-11-10T06:22:00Z</dcterms:created>
  <dcterms:modified xsi:type="dcterms:W3CDTF">2026-04-30T10:36:00Z</dcterms:modified>
</cp:coreProperties>
</file>